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0"/>
        <w:gridCol w:w="6841"/>
      </w:tblGrid>
      <w:tr w:rsidR="00071135" w:rsidRPr="00071135" w:rsidTr="00A71EF0">
        <w:tc>
          <w:tcPr>
            <w:tcW w:w="1549" w:type="pct"/>
          </w:tcPr>
          <w:p w:rsidR="001B426C" w:rsidRPr="00071135" w:rsidRDefault="00D448AD" w:rsidP="00420A83">
            <w:pPr>
              <w:spacing w:before="60" w:after="60"/>
              <w:jc w:val="both"/>
              <w:rPr>
                <w:rFonts w:ascii="Trebuchet MS" w:hAnsi="Trebuchet MS"/>
                <w:sz w:val="22"/>
                <w:szCs w:val="22"/>
                <w:lang w:val="ro-RO"/>
              </w:rPr>
            </w:pPr>
            <w:bookmarkStart w:id="0" w:name="_GoBack"/>
            <w:r w:rsidRPr="00071135">
              <w:rPr>
                <w:rFonts w:ascii="Trebuchet MS" w:hAnsi="Trebuchet MS"/>
                <w:sz w:val="22"/>
                <w:szCs w:val="22"/>
                <w:lang w:val="ro-RO"/>
              </w:rPr>
              <w:t>Denumirea intervenției</w:t>
            </w:r>
          </w:p>
        </w:tc>
        <w:tc>
          <w:tcPr>
            <w:tcW w:w="3451" w:type="pct"/>
          </w:tcPr>
          <w:p w:rsidR="00E64ABD" w:rsidRPr="00071135" w:rsidRDefault="00663950" w:rsidP="00420A83">
            <w:pPr>
              <w:spacing w:before="60" w:after="60"/>
              <w:jc w:val="both"/>
              <w:rPr>
                <w:rFonts w:ascii="Trebuchet MS" w:hAnsi="Trebuchet MS"/>
                <w:b/>
                <w:bCs/>
                <w:sz w:val="22"/>
                <w:szCs w:val="22"/>
                <w:lang w:val="ro-RO"/>
              </w:rPr>
            </w:pPr>
            <w:r w:rsidRPr="00071135">
              <w:rPr>
                <w:rFonts w:ascii="Trebuchet MS" w:hAnsi="Trebuchet MS"/>
                <w:b/>
                <w:bCs/>
                <w:sz w:val="22"/>
                <w:szCs w:val="22"/>
                <w:lang w:val="ro-RO"/>
              </w:rPr>
              <w:t>BUNĂSTAREA ANIMALELOR</w:t>
            </w:r>
          </w:p>
        </w:tc>
      </w:tr>
      <w:tr w:rsidR="00071135" w:rsidRPr="00071135" w:rsidTr="00A71EF0">
        <w:tc>
          <w:tcPr>
            <w:tcW w:w="1549" w:type="pct"/>
          </w:tcPr>
          <w:p w:rsidR="001B426C" w:rsidRPr="00071135" w:rsidRDefault="00D448AD" w:rsidP="00420A83">
            <w:pPr>
              <w:spacing w:before="60" w:after="60"/>
              <w:jc w:val="both"/>
              <w:rPr>
                <w:rFonts w:ascii="Trebuchet MS" w:hAnsi="Trebuchet MS"/>
                <w:sz w:val="22"/>
                <w:szCs w:val="22"/>
                <w:lang w:val="ro-RO"/>
              </w:rPr>
            </w:pPr>
            <w:r w:rsidRPr="00071135">
              <w:rPr>
                <w:rFonts w:ascii="Trebuchet MS" w:hAnsi="Trebuchet MS"/>
                <w:sz w:val="22"/>
                <w:szCs w:val="22"/>
                <w:lang w:val="ro-RO"/>
              </w:rPr>
              <w:t>Tipul de intervenție</w:t>
            </w:r>
          </w:p>
        </w:tc>
        <w:tc>
          <w:tcPr>
            <w:tcW w:w="3451" w:type="pct"/>
          </w:tcPr>
          <w:p w:rsidR="001B426C" w:rsidRPr="00071135" w:rsidRDefault="00663950" w:rsidP="00420A83">
            <w:pPr>
              <w:spacing w:before="60" w:after="60"/>
              <w:jc w:val="both"/>
              <w:rPr>
                <w:rFonts w:ascii="Trebuchet MS" w:hAnsi="Trebuchet MS"/>
                <w:sz w:val="22"/>
                <w:szCs w:val="22"/>
                <w:lang w:val="ro-RO"/>
              </w:rPr>
            </w:pPr>
            <w:r w:rsidRPr="00071135">
              <w:rPr>
                <w:rFonts w:ascii="Trebuchet MS" w:hAnsi="Trebuchet MS" w:cstheme="majorHAnsi"/>
                <w:sz w:val="22"/>
                <w:szCs w:val="22"/>
                <w:lang w:val="ro-RO"/>
              </w:rPr>
              <w:t>Angajamente în materie de mediu și climă și alte angajamente în materie de gestionare(Art.70 (3)(b)</w:t>
            </w:r>
            <w:r w:rsidR="00A94304" w:rsidRPr="00071135">
              <w:rPr>
                <w:rFonts w:ascii="Trebuchet MS" w:hAnsi="Trebuchet MS" w:cstheme="majorHAnsi"/>
                <w:sz w:val="22"/>
                <w:szCs w:val="22"/>
                <w:lang w:val="ro-RO"/>
              </w:rPr>
              <w:t xml:space="preserve"> din Regulamentul(UE</w:t>
            </w:r>
            <w:r w:rsidR="001B426C" w:rsidRPr="00071135">
              <w:rPr>
                <w:rFonts w:ascii="Trebuchet MS" w:hAnsi="Trebuchet MS" w:cstheme="majorHAnsi"/>
                <w:sz w:val="22"/>
                <w:szCs w:val="22"/>
                <w:lang w:val="ro-RO"/>
              </w:rPr>
              <w:t>)</w:t>
            </w:r>
            <w:r w:rsidR="00A94304" w:rsidRPr="00071135">
              <w:rPr>
                <w:rFonts w:ascii="Trebuchet MS" w:hAnsi="Trebuchet MS" w:cstheme="majorHAnsi"/>
                <w:sz w:val="22"/>
                <w:szCs w:val="22"/>
                <w:lang w:val="ro-RO"/>
              </w:rPr>
              <w:t xml:space="preserve"> 2021/2115)</w:t>
            </w:r>
          </w:p>
        </w:tc>
      </w:tr>
      <w:tr w:rsidR="00071135" w:rsidRPr="00071135" w:rsidTr="00A71EF0">
        <w:tc>
          <w:tcPr>
            <w:tcW w:w="1549" w:type="pct"/>
          </w:tcPr>
          <w:p w:rsidR="001B426C" w:rsidRPr="00071135" w:rsidRDefault="00D448AD" w:rsidP="00420A83">
            <w:pPr>
              <w:spacing w:before="60" w:after="60"/>
              <w:jc w:val="both"/>
              <w:rPr>
                <w:rFonts w:ascii="Trebuchet MS" w:hAnsi="Trebuchet MS"/>
                <w:sz w:val="22"/>
                <w:szCs w:val="22"/>
                <w:lang w:val="ro-RO"/>
              </w:rPr>
            </w:pPr>
            <w:r w:rsidRPr="00071135">
              <w:rPr>
                <w:rFonts w:ascii="Trebuchet MS" w:hAnsi="Trebuchet MS"/>
                <w:sz w:val="22"/>
                <w:szCs w:val="22"/>
                <w:lang w:val="ro-RO"/>
              </w:rPr>
              <w:t>Indicator de realizare</w:t>
            </w:r>
          </w:p>
        </w:tc>
        <w:tc>
          <w:tcPr>
            <w:tcW w:w="3451" w:type="pct"/>
          </w:tcPr>
          <w:p w:rsidR="0028476A" w:rsidRPr="00071135" w:rsidRDefault="001417EC" w:rsidP="00420A83">
            <w:pPr>
              <w:pageBreakBefore/>
              <w:spacing w:before="50" w:after="60"/>
              <w:rPr>
                <w:rFonts w:ascii="Trebuchet MS" w:eastAsia="Arial" w:hAnsi="Trebuchet MS" w:cstheme="majorHAnsi"/>
                <w:sz w:val="22"/>
                <w:szCs w:val="22"/>
                <w:lang w:val="ro-RO"/>
              </w:rPr>
            </w:pPr>
            <w:r w:rsidRPr="00071135">
              <w:rPr>
                <w:rFonts w:ascii="Trebuchet MS" w:eastAsia="Arial" w:hAnsi="Trebuchet MS" w:cstheme="majorHAnsi"/>
                <w:sz w:val="22"/>
                <w:szCs w:val="22"/>
                <w:lang w:val="ro-RO"/>
              </w:rPr>
              <w:t>O18 Numărul de unități vită mare (UVM) care beneficiază de sprijinul pentru bunăstarea animalelor</w:t>
            </w:r>
          </w:p>
        </w:tc>
      </w:tr>
      <w:tr w:rsidR="00071135" w:rsidRPr="00071135" w:rsidTr="00A71EF0">
        <w:trPr>
          <w:trHeight w:val="966"/>
        </w:trPr>
        <w:tc>
          <w:tcPr>
            <w:tcW w:w="1549" w:type="pct"/>
          </w:tcPr>
          <w:p w:rsidR="001B426C" w:rsidRPr="00071135" w:rsidRDefault="00E5433B" w:rsidP="00420A83">
            <w:pPr>
              <w:spacing w:before="60" w:after="60"/>
              <w:jc w:val="both"/>
              <w:rPr>
                <w:rFonts w:ascii="Trebuchet MS" w:hAnsi="Trebuchet MS"/>
                <w:sz w:val="22"/>
                <w:szCs w:val="22"/>
                <w:lang w:val="ro-RO"/>
              </w:rPr>
            </w:pPr>
            <w:r w:rsidRPr="00071135">
              <w:rPr>
                <w:rFonts w:ascii="Trebuchet MS" w:hAnsi="Trebuchet MS"/>
                <w:sz w:val="22"/>
                <w:szCs w:val="22"/>
                <w:lang w:val="ro-RO"/>
              </w:rPr>
              <w:t>Contribuția la intervențiile cu alocare obligatorie</w:t>
            </w:r>
          </w:p>
        </w:tc>
        <w:tc>
          <w:tcPr>
            <w:tcW w:w="3451" w:type="pct"/>
          </w:tcPr>
          <w:p w:rsidR="006C3114" w:rsidRPr="00071135" w:rsidRDefault="00284723" w:rsidP="00420A83">
            <w:pPr>
              <w:pStyle w:val="ListParagraph"/>
              <w:numPr>
                <w:ilvl w:val="0"/>
                <w:numId w:val="18"/>
              </w:numPr>
              <w:spacing w:after="60"/>
              <w:ind w:left="714" w:hanging="357"/>
              <w:jc w:val="both"/>
              <w:rPr>
                <w:rFonts w:ascii="Trebuchet MS" w:hAnsi="Trebuchet MS"/>
                <w:sz w:val="22"/>
                <w:szCs w:val="22"/>
                <w:lang w:val="ro-RO"/>
              </w:rPr>
            </w:pPr>
            <w:r w:rsidRPr="00071135">
              <w:rPr>
                <w:rFonts w:ascii="Trebuchet MS" w:hAnsi="Trebuchet MS"/>
                <w:sz w:val="22"/>
                <w:szCs w:val="22"/>
                <w:lang w:val="ro-RO"/>
              </w:rPr>
              <w:t>Reînnoirea generațiilor</w:t>
            </w:r>
            <w:r w:rsidR="006C3114" w:rsidRPr="00071135">
              <w:rPr>
                <w:rFonts w:ascii="Trebuchet MS" w:hAnsi="Trebuchet MS"/>
                <w:sz w:val="22"/>
                <w:szCs w:val="22"/>
                <w:lang w:val="ro-RO"/>
              </w:rPr>
              <w:t xml:space="preserve">  </w:t>
            </w:r>
            <w:r w:rsidR="006C3114" w:rsidRPr="00071135">
              <w:rPr>
                <w:rFonts w:ascii="Arial" w:hAnsi="Arial" w:cs="Arial"/>
                <w:sz w:val="22"/>
                <w:szCs w:val="22"/>
                <w:lang w:val="ro-RO"/>
              </w:rPr>
              <w:t>○</w:t>
            </w:r>
            <w:r w:rsidR="006C3114" w:rsidRPr="00071135">
              <w:rPr>
                <w:rFonts w:ascii="Trebuchet MS" w:hAnsi="Trebuchet MS"/>
                <w:sz w:val="22"/>
                <w:szCs w:val="22"/>
                <w:lang w:val="ro-RO"/>
              </w:rPr>
              <w:t xml:space="preserve"> </w:t>
            </w:r>
            <w:r w:rsidRPr="00071135">
              <w:rPr>
                <w:rFonts w:ascii="Trebuchet MS" w:hAnsi="Trebuchet MS"/>
                <w:sz w:val="22"/>
                <w:szCs w:val="22"/>
                <w:lang w:val="ro-RO"/>
              </w:rPr>
              <w:t xml:space="preserve">Da </w:t>
            </w:r>
            <w:r w:rsidRPr="00071135">
              <w:rPr>
                <w:rFonts w:ascii="Trebuchet MS" w:hAnsi="Trebuchet MS"/>
                <w:b/>
                <w:lang w:val="ro-RO"/>
              </w:rPr>
              <w:t xml:space="preserve">X </w:t>
            </w:r>
            <w:r w:rsidR="00E1464B" w:rsidRPr="00071135">
              <w:rPr>
                <w:rFonts w:ascii="Trebuchet MS" w:hAnsi="Trebuchet MS"/>
                <w:b/>
                <w:lang w:val="ro-RO"/>
              </w:rPr>
              <w:t xml:space="preserve"> </w:t>
            </w:r>
            <w:r w:rsidRPr="00071135">
              <w:rPr>
                <w:rFonts w:ascii="Trebuchet MS" w:hAnsi="Trebuchet MS"/>
                <w:b/>
                <w:lang w:val="ro-RO"/>
              </w:rPr>
              <w:t>Nu</w:t>
            </w:r>
          </w:p>
          <w:p w:rsidR="006C3114" w:rsidRPr="00071135" w:rsidRDefault="00284723" w:rsidP="00420A83">
            <w:pPr>
              <w:pStyle w:val="ListParagraph"/>
              <w:numPr>
                <w:ilvl w:val="0"/>
                <w:numId w:val="18"/>
              </w:numPr>
              <w:spacing w:before="60" w:after="60"/>
              <w:jc w:val="both"/>
              <w:rPr>
                <w:rFonts w:ascii="Trebuchet MS" w:hAnsi="Trebuchet MS"/>
                <w:sz w:val="22"/>
                <w:szCs w:val="22"/>
                <w:lang w:val="ro-RO"/>
              </w:rPr>
            </w:pPr>
            <w:r w:rsidRPr="00071135">
              <w:rPr>
                <w:rFonts w:ascii="Trebuchet MS" w:hAnsi="Trebuchet MS"/>
                <w:sz w:val="22"/>
                <w:szCs w:val="22"/>
                <w:lang w:val="ro-RO"/>
              </w:rPr>
              <w:t xml:space="preserve">Mediu </w:t>
            </w:r>
            <w:r w:rsidR="00D60E14" w:rsidRPr="00071135">
              <w:rPr>
                <w:rFonts w:ascii="Trebuchet MS" w:hAnsi="Trebuchet MS"/>
                <w:b/>
                <w:lang w:val="ro-RO"/>
              </w:rPr>
              <w:t>X</w:t>
            </w:r>
            <w:r w:rsidR="00D60E14" w:rsidRPr="00071135">
              <w:rPr>
                <w:rFonts w:ascii="Arial" w:hAnsi="Arial" w:cs="Arial"/>
                <w:sz w:val="22"/>
                <w:szCs w:val="22"/>
                <w:lang w:val="ro-RO"/>
              </w:rPr>
              <w:t xml:space="preserve"> </w:t>
            </w:r>
            <w:r w:rsidRPr="00071135">
              <w:rPr>
                <w:rFonts w:ascii="Trebuchet MS" w:hAnsi="Trebuchet MS"/>
                <w:b/>
                <w:bCs/>
                <w:sz w:val="22"/>
                <w:szCs w:val="22"/>
                <w:lang w:val="ro-RO"/>
              </w:rPr>
              <w:t>Da</w:t>
            </w:r>
            <w:r w:rsidR="00E1464B" w:rsidRPr="00071135">
              <w:rPr>
                <w:rFonts w:ascii="Trebuchet MS" w:hAnsi="Trebuchet MS"/>
                <w:b/>
                <w:lang w:val="ro-RO"/>
              </w:rPr>
              <w:t xml:space="preserve"> </w:t>
            </w:r>
            <w:r w:rsidR="006C3114" w:rsidRPr="00071135">
              <w:rPr>
                <w:rFonts w:ascii="Arial" w:hAnsi="Arial" w:cs="Arial"/>
                <w:sz w:val="22"/>
                <w:szCs w:val="22"/>
                <w:lang w:val="ro-RO"/>
              </w:rPr>
              <w:t>○</w:t>
            </w:r>
            <w:r w:rsidR="006C3114" w:rsidRPr="00071135">
              <w:rPr>
                <w:rFonts w:ascii="Trebuchet MS" w:hAnsi="Trebuchet MS"/>
                <w:sz w:val="22"/>
                <w:szCs w:val="22"/>
                <w:lang w:val="ro-RO"/>
              </w:rPr>
              <w:t xml:space="preserve"> </w:t>
            </w:r>
            <w:r w:rsidR="00487B2C" w:rsidRPr="00071135">
              <w:rPr>
                <w:rFonts w:ascii="Trebuchet MS" w:hAnsi="Trebuchet MS"/>
                <w:sz w:val="22"/>
                <w:szCs w:val="22"/>
                <w:lang w:val="ro-RO"/>
              </w:rPr>
              <w:t>Nu</w:t>
            </w:r>
          </w:p>
          <w:p w:rsidR="001B426C" w:rsidRPr="00071135" w:rsidRDefault="006C3114" w:rsidP="00420A83">
            <w:pPr>
              <w:pStyle w:val="ListParagraph"/>
              <w:numPr>
                <w:ilvl w:val="0"/>
                <w:numId w:val="18"/>
              </w:numPr>
              <w:spacing w:before="60" w:after="60"/>
              <w:jc w:val="both"/>
              <w:rPr>
                <w:rFonts w:ascii="Trebuchet MS" w:hAnsi="Trebuchet MS"/>
                <w:sz w:val="22"/>
                <w:szCs w:val="22"/>
                <w:lang w:val="ro-RO"/>
              </w:rPr>
            </w:pPr>
            <w:r w:rsidRPr="00071135">
              <w:rPr>
                <w:rFonts w:ascii="Trebuchet MS" w:hAnsi="Trebuchet MS"/>
                <w:sz w:val="22"/>
                <w:szCs w:val="22"/>
                <w:lang w:val="ro-RO"/>
              </w:rPr>
              <w:t xml:space="preserve">LEADER </w:t>
            </w:r>
            <w:r w:rsidRPr="00071135">
              <w:rPr>
                <w:rFonts w:ascii="Arial" w:hAnsi="Arial" w:cs="Arial"/>
                <w:sz w:val="22"/>
                <w:szCs w:val="22"/>
                <w:lang w:val="ro-RO"/>
              </w:rPr>
              <w:t>○</w:t>
            </w:r>
            <w:r w:rsidRPr="00071135">
              <w:rPr>
                <w:rFonts w:ascii="Trebuchet MS" w:hAnsi="Trebuchet MS"/>
                <w:sz w:val="22"/>
                <w:szCs w:val="22"/>
                <w:lang w:val="ro-RO"/>
              </w:rPr>
              <w:t xml:space="preserve"> </w:t>
            </w:r>
            <w:r w:rsidR="00487B2C" w:rsidRPr="00071135">
              <w:rPr>
                <w:rFonts w:ascii="Trebuchet MS" w:hAnsi="Trebuchet MS"/>
                <w:sz w:val="22"/>
                <w:szCs w:val="22"/>
                <w:lang w:val="ro-RO"/>
              </w:rPr>
              <w:t xml:space="preserve">Da </w:t>
            </w:r>
            <w:r w:rsidR="00487B2C" w:rsidRPr="00071135">
              <w:rPr>
                <w:rFonts w:ascii="Trebuchet MS" w:hAnsi="Trebuchet MS"/>
                <w:b/>
                <w:bCs/>
                <w:lang w:val="ro-RO"/>
              </w:rPr>
              <w:t>X</w:t>
            </w:r>
            <w:r w:rsidRPr="00071135">
              <w:rPr>
                <w:rFonts w:ascii="Trebuchet MS" w:hAnsi="Trebuchet MS"/>
                <w:b/>
                <w:bCs/>
                <w:lang w:val="ro-RO"/>
              </w:rPr>
              <w:t xml:space="preserve"> </w:t>
            </w:r>
            <w:r w:rsidR="00487B2C" w:rsidRPr="00071135">
              <w:rPr>
                <w:rFonts w:ascii="Trebuchet MS" w:hAnsi="Trebuchet MS"/>
                <w:b/>
                <w:bCs/>
                <w:lang w:val="ro-RO"/>
              </w:rPr>
              <w:t>Nu</w:t>
            </w:r>
          </w:p>
        </w:tc>
      </w:tr>
      <w:tr w:rsidR="001B426C" w:rsidRPr="00071135" w:rsidTr="00A71EF0">
        <w:tc>
          <w:tcPr>
            <w:tcW w:w="1549" w:type="pct"/>
          </w:tcPr>
          <w:p w:rsidR="001B426C" w:rsidRPr="00071135" w:rsidRDefault="00487B2C" w:rsidP="00420A83">
            <w:pPr>
              <w:spacing w:before="60" w:after="60"/>
              <w:jc w:val="both"/>
              <w:rPr>
                <w:rFonts w:ascii="Trebuchet MS" w:hAnsi="Trebuchet MS"/>
                <w:sz w:val="22"/>
                <w:szCs w:val="22"/>
                <w:lang w:val="ro-RO"/>
              </w:rPr>
            </w:pPr>
            <w:r w:rsidRPr="00071135">
              <w:rPr>
                <w:rFonts w:ascii="Trebuchet MS" w:hAnsi="Trebuchet MS"/>
                <w:sz w:val="22"/>
                <w:szCs w:val="22"/>
                <w:lang w:val="ro-RO"/>
              </w:rPr>
              <w:t>Intervenția include plăți tranzitorii din PNDR 2014-2022</w:t>
            </w:r>
          </w:p>
        </w:tc>
        <w:tc>
          <w:tcPr>
            <w:tcW w:w="3451" w:type="pct"/>
          </w:tcPr>
          <w:p w:rsidR="001B426C" w:rsidRPr="00071135" w:rsidRDefault="00487B2C" w:rsidP="00420A83">
            <w:pPr>
              <w:numPr>
                <w:ilvl w:val="0"/>
                <w:numId w:val="29"/>
              </w:numPr>
              <w:spacing w:before="60" w:after="60"/>
              <w:contextualSpacing/>
              <w:jc w:val="both"/>
              <w:rPr>
                <w:rFonts w:ascii="Trebuchet MS" w:hAnsi="Trebuchet MS"/>
                <w:sz w:val="22"/>
                <w:szCs w:val="22"/>
                <w:lang w:val="ro-RO"/>
              </w:rPr>
            </w:pPr>
            <w:r w:rsidRPr="00071135">
              <w:rPr>
                <w:rFonts w:ascii="Trebuchet MS" w:hAnsi="Trebuchet MS"/>
                <w:sz w:val="22"/>
                <w:szCs w:val="22"/>
                <w:lang w:val="ro-RO"/>
              </w:rPr>
              <w:t>Da, în totalitate</w:t>
            </w:r>
          </w:p>
          <w:p w:rsidR="000E15D8" w:rsidRPr="00071135" w:rsidRDefault="000E15D8" w:rsidP="00420A83">
            <w:pPr>
              <w:numPr>
                <w:ilvl w:val="0"/>
                <w:numId w:val="29"/>
              </w:numPr>
              <w:spacing w:before="60" w:after="60"/>
              <w:contextualSpacing/>
              <w:jc w:val="both"/>
              <w:rPr>
                <w:rFonts w:ascii="Trebuchet MS" w:hAnsi="Trebuchet MS"/>
                <w:sz w:val="22"/>
                <w:szCs w:val="22"/>
                <w:lang w:val="ro-RO"/>
              </w:rPr>
            </w:pPr>
            <w:r w:rsidRPr="00071135">
              <w:rPr>
                <w:rFonts w:ascii="Trebuchet MS" w:hAnsi="Trebuchet MS"/>
                <w:b/>
                <w:bCs/>
                <w:sz w:val="22"/>
                <w:szCs w:val="22"/>
                <w:lang w:val="ro-RO"/>
              </w:rPr>
              <w:t>Da, parțial</w:t>
            </w:r>
          </w:p>
          <w:p w:rsidR="001B426C" w:rsidRPr="00071135" w:rsidRDefault="000E15D8" w:rsidP="000E15D8">
            <w:pPr>
              <w:pStyle w:val="ListParagraph"/>
              <w:numPr>
                <w:ilvl w:val="0"/>
                <w:numId w:val="18"/>
              </w:numPr>
              <w:spacing w:before="60" w:after="60"/>
              <w:jc w:val="both"/>
              <w:rPr>
                <w:rFonts w:ascii="Trebuchet MS" w:hAnsi="Trebuchet MS"/>
                <w:sz w:val="22"/>
                <w:szCs w:val="22"/>
                <w:lang w:val="ro-RO"/>
              </w:rPr>
            </w:pPr>
            <w:r w:rsidRPr="00071135">
              <w:rPr>
                <w:rFonts w:ascii="Trebuchet MS" w:hAnsi="Trebuchet MS"/>
                <w:bCs/>
                <w:lang w:val="ro-RO"/>
              </w:rPr>
              <w:t>Nu</w:t>
            </w:r>
          </w:p>
        </w:tc>
      </w:tr>
    </w:tbl>
    <w:p w:rsidR="001B426C" w:rsidRPr="00071135" w:rsidRDefault="001B426C" w:rsidP="00420A83">
      <w:pPr>
        <w:spacing w:after="0" w:line="240" w:lineRule="auto"/>
        <w:rPr>
          <w:rFonts w:ascii="Trebuchet MS" w:eastAsia="Times New Roman" w:hAnsi="Trebuchet MS" w:cs="Times New Roman"/>
          <w:lang w:val="ro-RO" w:eastAsia="en-GB"/>
        </w:rPr>
      </w:pPr>
    </w:p>
    <w:p w:rsidR="001B426C" w:rsidRPr="00071135" w:rsidRDefault="002B1BB0" w:rsidP="00420A83">
      <w:pPr>
        <w:keepNext/>
        <w:spacing w:before="120" w:after="120" w:line="240" w:lineRule="auto"/>
        <w:jc w:val="both"/>
        <w:rPr>
          <w:rFonts w:ascii="Trebuchet MS" w:eastAsia="Times New Roman" w:hAnsi="Trebuchet MS" w:cs="Times New Roman"/>
          <w:b/>
          <w:bCs/>
          <w:lang w:val="ro-RO" w:eastAsia="en-GB"/>
        </w:rPr>
      </w:pPr>
      <w:bookmarkStart w:id="1" w:name="_Toc72429692"/>
      <w:bookmarkStart w:id="2" w:name="_Toc72513888"/>
      <w:bookmarkStart w:id="3" w:name="_Toc72514394"/>
      <w:bookmarkStart w:id="4" w:name="_Toc72935167"/>
      <w:bookmarkEnd w:id="1"/>
      <w:bookmarkEnd w:id="2"/>
      <w:bookmarkEnd w:id="3"/>
      <w:bookmarkEnd w:id="4"/>
      <w:r w:rsidRPr="00071135">
        <w:rPr>
          <w:rFonts w:ascii="Trebuchet MS" w:eastAsia="Times New Roman" w:hAnsi="Trebuchet MS" w:cs="Times New Roman"/>
          <w:b/>
          <w:bCs/>
          <w:lang w:val="ro-RO" w:eastAsia="en-GB"/>
        </w:rPr>
        <w:t xml:space="preserve">1. </w:t>
      </w:r>
      <w:r w:rsidR="004872C4" w:rsidRPr="00071135">
        <w:rPr>
          <w:rFonts w:ascii="Trebuchet MS" w:eastAsia="Times New Roman" w:hAnsi="Trebuchet MS" w:cs="Times New Roman"/>
          <w:b/>
          <w:bCs/>
          <w:lang w:val="ro-RO" w:eastAsia="en-GB"/>
        </w:rPr>
        <w:t>Aria teritorială de aplicabilitate</w:t>
      </w:r>
      <w:r w:rsidRPr="00071135">
        <w:rPr>
          <w:rFonts w:ascii="Trebuchet MS" w:eastAsia="Times New Roman" w:hAnsi="Trebuchet MS" w:cs="Times New Roman"/>
          <w:b/>
          <w:bCs/>
          <w:lang w:val="ro-RO" w:eastAsia="en-GB"/>
        </w:rPr>
        <w:t xml:space="preserve">, </w:t>
      </w:r>
      <w:r w:rsidR="009624ED" w:rsidRPr="00071135">
        <w:rPr>
          <w:rFonts w:ascii="Trebuchet MS" w:eastAsia="Times New Roman" w:hAnsi="Trebuchet MS" w:cs="Times New Roman"/>
          <w:b/>
          <w:bCs/>
          <w:lang w:val="ro-RO" w:eastAsia="en-GB"/>
        </w:rPr>
        <w:t>inclusiv dimensiunea regională, dacă este relevant</w:t>
      </w:r>
    </w:p>
    <w:p w:rsidR="001B426C" w:rsidRPr="00071135"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71135">
        <w:rPr>
          <w:rFonts w:ascii="Arial" w:eastAsia="Times New Roman" w:hAnsi="Arial" w:cs="Arial"/>
          <w:lang w:val="ro-RO"/>
        </w:rPr>
        <w:t>x</w:t>
      </w:r>
      <w:r w:rsidR="001B426C" w:rsidRPr="00071135">
        <w:rPr>
          <w:rFonts w:ascii="Trebuchet MS" w:eastAsia="Times New Roman" w:hAnsi="Trebuchet MS" w:cs="Times New Roman"/>
          <w:b/>
          <w:lang w:val="ro-RO"/>
        </w:rPr>
        <w:t xml:space="preserve"> Na</w:t>
      </w:r>
      <w:r w:rsidR="00646C2A" w:rsidRPr="00071135">
        <w:rPr>
          <w:rFonts w:ascii="Trebuchet MS" w:eastAsia="Times New Roman" w:hAnsi="Trebuchet MS" w:cs="Times New Roman"/>
          <w:b/>
          <w:lang w:val="ro-RO"/>
        </w:rPr>
        <w:t>ţ</w:t>
      </w:r>
      <w:r w:rsidR="001B426C" w:rsidRPr="00071135">
        <w:rPr>
          <w:rFonts w:ascii="Trebuchet MS" w:eastAsia="Times New Roman" w:hAnsi="Trebuchet MS" w:cs="Times New Roman"/>
          <w:b/>
          <w:lang w:val="ro-RO"/>
        </w:rPr>
        <w:t>ional</w:t>
      </w:r>
      <w:r w:rsidR="001B426C" w:rsidRPr="00071135">
        <w:rPr>
          <w:rFonts w:ascii="Trebuchet MS" w:eastAsia="Times New Roman" w:hAnsi="Trebuchet MS" w:cs="Times New Roman"/>
          <w:lang w:val="ro-RO"/>
        </w:rPr>
        <w:t xml:space="preserve"> </w:t>
      </w:r>
      <w:r w:rsidR="001B426C" w:rsidRPr="00071135">
        <w:rPr>
          <w:rFonts w:ascii="Trebuchet MS" w:eastAsia="Times New Roman" w:hAnsi="Trebuchet MS" w:cs="Times New Roman"/>
          <w:lang w:val="ro-RO"/>
        </w:rPr>
        <w:tab/>
      </w:r>
      <w:r w:rsidR="001B426C" w:rsidRPr="00071135">
        <w:rPr>
          <w:rFonts w:ascii="Arial" w:eastAsia="Times New Roman" w:hAnsi="Arial" w:cs="Arial"/>
          <w:lang w:val="ro-RO"/>
        </w:rPr>
        <w:t>○</w:t>
      </w:r>
      <w:r w:rsidR="001B426C" w:rsidRPr="00071135">
        <w:rPr>
          <w:rFonts w:ascii="Trebuchet MS" w:eastAsia="Times New Roman" w:hAnsi="Trebuchet MS" w:cs="Times New Roman"/>
          <w:lang w:val="ro-RO"/>
        </w:rPr>
        <w:t xml:space="preserve"> Regional</w:t>
      </w:r>
      <w:r w:rsidR="001B426C" w:rsidRPr="00071135">
        <w:rPr>
          <w:rFonts w:ascii="Trebuchet MS" w:eastAsia="Times New Roman" w:hAnsi="Trebuchet MS" w:cs="Times New Roman"/>
          <w:lang w:val="ro-RO"/>
        </w:rPr>
        <w:tab/>
      </w:r>
      <w:r w:rsidR="001B426C" w:rsidRPr="00071135">
        <w:rPr>
          <w:rFonts w:ascii="Arial" w:eastAsia="Times New Roman" w:hAnsi="Arial" w:cs="Arial"/>
          <w:lang w:val="ro-RO"/>
        </w:rPr>
        <w:t>○</w:t>
      </w:r>
      <w:r w:rsidR="001B426C" w:rsidRPr="00071135">
        <w:rPr>
          <w:rFonts w:ascii="Trebuchet MS" w:eastAsia="Times New Roman" w:hAnsi="Trebuchet MS" w:cs="Times New Roman"/>
          <w:lang w:val="ro-RO"/>
        </w:rPr>
        <w:t xml:space="preserve"> National </w:t>
      </w:r>
      <w:r w:rsidR="00D26FC6" w:rsidRPr="00071135">
        <w:rPr>
          <w:rFonts w:ascii="Trebuchet MS" w:eastAsia="Times New Roman" w:hAnsi="Trebuchet MS" w:cs="Times New Roman"/>
          <w:lang w:val="ro-RO"/>
        </w:rPr>
        <w:t>cu elemente</w:t>
      </w:r>
      <w:r w:rsidR="001B426C" w:rsidRPr="00071135">
        <w:rPr>
          <w:rFonts w:ascii="Trebuchet MS" w:eastAsia="Times New Roman" w:hAnsi="Trebuchet MS" w:cs="Times New Roman"/>
          <w:lang w:val="ro-RO"/>
        </w:rPr>
        <w:t xml:space="preserve"> regional</w:t>
      </w:r>
      <w:r w:rsidR="00D26FC6" w:rsidRPr="00071135">
        <w:rPr>
          <w:rFonts w:ascii="Trebuchet MS" w:eastAsia="Times New Roman" w:hAnsi="Trebuchet MS" w:cs="Times New Roman"/>
          <w:lang w:val="ro-RO"/>
        </w:rPr>
        <w:t>e</w:t>
      </w:r>
      <w:r w:rsidR="002B1BB0" w:rsidRPr="00071135">
        <w:rPr>
          <w:rFonts w:ascii="Trebuchet MS" w:eastAsia="Times New Roman" w:hAnsi="Trebuchet MS" w:cs="Times New Roman"/>
          <w:lang w:val="ro-RO"/>
        </w:rPr>
        <w:t xml:space="preserve">          </w:t>
      </w:r>
      <w:r w:rsidR="002B1BB0" w:rsidRPr="00071135">
        <w:rPr>
          <w:rFonts w:ascii="Arial" w:eastAsia="Times New Roman" w:hAnsi="Arial" w:cs="Arial"/>
          <w:lang w:val="ro-RO"/>
        </w:rPr>
        <w:t>○</w:t>
      </w:r>
      <w:r w:rsidR="002B1BB0" w:rsidRPr="00071135">
        <w:rPr>
          <w:rFonts w:ascii="Trebuchet MS" w:eastAsia="Times New Roman" w:hAnsi="Trebuchet MS" w:cs="Times New Roman"/>
          <w:lang w:val="ro-RO"/>
        </w:rPr>
        <w:t xml:space="preserve"> Transnațional</w:t>
      </w:r>
    </w:p>
    <w:p w:rsidR="007F17FC" w:rsidRPr="00071135" w:rsidRDefault="007F17FC" w:rsidP="00420A83">
      <w:pPr>
        <w:spacing w:after="120" w:line="240" w:lineRule="auto"/>
        <w:jc w:val="both"/>
        <w:rPr>
          <w:rFonts w:ascii="Trebuchet MS" w:eastAsia="Times New Roman" w:hAnsi="Trebuchet MS" w:cs="Times New Roman"/>
          <w:b/>
          <w:lang w:val="ro-RO" w:eastAsia="en-GB"/>
        </w:rPr>
      </w:pPr>
      <w:bookmarkStart w:id="5" w:name="_Toc77173501"/>
      <w:bookmarkStart w:id="6" w:name="_Toc77675095"/>
      <w:bookmarkStart w:id="7" w:name="_Toc78293395"/>
      <w:bookmarkStart w:id="8" w:name="_Toc78296338"/>
      <w:bookmarkStart w:id="9" w:name="_Toc78379343"/>
      <w:bookmarkStart w:id="10" w:name="_Toc78384995"/>
      <w:bookmarkStart w:id="11" w:name="_Toc78389855"/>
      <w:bookmarkStart w:id="12" w:name="_Toc81568690"/>
      <w:bookmarkStart w:id="13" w:name="_Toc81569478"/>
      <w:bookmarkStart w:id="14" w:name="_Toc81572463"/>
      <w:bookmarkStart w:id="15" w:name="_Toc82098793"/>
      <w:r w:rsidRPr="00071135">
        <w:rPr>
          <w:rFonts w:ascii="Trebuchet MS" w:eastAsia="Times New Roman" w:hAnsi="Trebuchet MS" w:cs="Times New Roman"/>
          <w:b/>
          <w:lang w:val="ro-RO" w:eastAsia="en-GB"/>
        </w:rPr>
        <w:t>Descrierea domeniul de aplicare teritorială</w:t>
      </w:r>
    </w:p>
    <w:p w:rsidR="009A7F4A" w:rsidRPr="00071135" w:rsidRDefault="009A7F4A" w:rsidP="00420A83">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Intervenția – Bunăstarea animalelor poate fi aplicată în toate exploatațiile de creștere și exploatare a păsărilor și suinelor autorizate sanitar veterinar de pe teritoriul României.</w:t>
      </w:r>
    </w:p>
    <w:p w:rsidR="009A7F4A" w:rsidRPr="00071135" w:rsidRDefault="009A7F4A" w:rsidP="00420A83">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p>
    <w:p w:rsidR="001B426C" w:rsidRPr="00071135" w:rsidRDefault="00D60E14" w:rsidP="00420A83">
      <w:pPr>
        <w:keepNext/>
        <w:spacing w:before="120" w:after="120" w:line="240" w:lineRule="auto"/>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2. </w:t>
      </w:r>
      <w:r w:rsidR="00C405CE" w:rsidRPr="00071135">
        <w:rPr>
          <w:rFonts w:ascii="Trebuchet MS" w:eastAsia="Times New Roman" w:hAnsi="Trebuchet MS" w:cs="Times New Roman"/>
          <w:b/>
          <w:bCs/>
          <w:lang w:val="ro-RO" w:eastAsia="en-GB"/>
        </w:rPr>
        <w:t>Obiective specif</w:t>
      </w:r>
      <w:r w:rsidR="00140C52" w:rsidRPr="00071135">
        <w:rPr>
          <w:rFonts w:ascii="Trebuchet MS" w:eastAsia="Times New Roman" w:hAnsi="Trebuchet MS" w:cs="Times New Roman"/>
          <w:b/>
          <w:bCs/>
          <w:lang w:val="ro-RO" w:eastAsia="en-GB"/>
        </w:rPr>
        <w:t>i</w:t>
      </w:r>
      <w:r w:rsidR="00C405CE" w:rsidRPr="00071135">
        <w:rPr>
          <w:rFonts w:ascii="Trebuchet MS" w:eastAsia="Times New Roman" w:hAnsi="Trebuchet MS" w:cs="Times New Roman"/>
          <w:b/>
          <w:bCs/>
          <w:lang w:val="ro-RO" w:eastAsia="en-GB"/>
        </w:rPr>
        <w:t xml:space="preserve">ce </w:t>
      </w:r>
      <w:r w:rsidR="00140C52" w:rsidRPr="00071135">
        <w:rPr>
          <w:rFonts w:ascii="Trebuchet MS" w:eastAsia="Times New Roman" w:hAnsi="Trebuchet MS" w:cs="Times New Roman"/>
          <w:b/>
          <w:bCs/>
          <w:lang w:val="ro-RO" w:eastAsia="en-GB"/>
        </w:rPr>
        <w:t>și transversale conexe</w:t>
      </w:r>
      <w:bookmarkEnd w:id="5"/>
      <w:bookmarkEnd w:id="6"/>
      <w:bookmarkEnd w:id="7"/>
      <w:bookmarkEnd w:id="8"/>
      <w:bookmarkEnd w:id="9"/>
      <w:bookmarkEnd w:id="10"/>
      <w:bookmarkEnd w:id="11"/>
      <w:bookmarkEnd w:id="12"/>
      <w:bookmarkEnd w:id="13"/>
      <w:bookmarkEnd w:id="14"/>
      <w:bookmarkEnd w:id="15"/>
    </w:p>
    <w:p w:rsidR="00894F87" w:rsidRPr="00071135" w:rsidRDefault="00894F87" w:rsidP="00322E3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Obiectiv Specific </w:t>
      </w:r>
      <w:r w:rsidRPr="00071135">
        <w:rPr>
          <w:rFonts w:ascii="Trebuchet MS" w:hAnsi="Trebuchet MS" w:cs="Times New Roman"/>
          <w:b/>
          <w:bCs/>
          <w:lang w:val="ro-RO"/>
        </w:rPr>
        <w:t>4 - Contribuția la atenuarea și adaptarea la schimbările climatice, precum și la energia durabilă</w:t>
      </w:r>
    </w:p>
    <w:p w:rsidR="00322E3F" w:rsidRPr="00071135" w:rsidRDefault="00322E3F" w:rsidP="00322E3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Obiectiv Specific 5 - Promovarea dezvoltării durabile și a gestionării eficiente a resurselor naturale, cum ar fi apa, solul și aerul</w:t>
      </w:r>
    </w:p>
    <w:p w:rsidR="00D60E14" w:rsidRPr="00071135" w:rsidRDefault="00894F87" w:rsidP="00322E3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val="ro-RO" w:eastAsia="en-GB"/>
        </w:rPr>
      </w:pPr>
      <w:r w:rsidRPr="00071135">
        <w:rPr>
          <w:rFonts w:ascii="Trebuchet MS" w:eastAsia="Times New Roman" w:hAnsi="Trebuchet MS" w:cs="Times New Roman"/>
          <w:b/>
          <w:lang w:val="ro-RO" w:eastAsia="en-GB"/>
        </w:rPr>
        <w:t xml:space="preserve">Obiectiv Specific </w:t>
      </w:r>
      <w:r w:rsidR="009A7F4A" w:rsidRPr="00071135">
        <w:rPr>
          <w:rFonts w:ascii="Trebuchet MS" w:eastAsia="Times New Roman" w:hAnsi="Trebuchet MS" w:cs="Times New Roman"/>
          <w:b/>
          <w:bCs/>
          <w:lang w:val="ro-RO" w:eastAsia="en-GB"/>
        </w:rPr>
        <w:t>9 -</w:t>
      </w:r>
      <w:r w:rsidR="009A7F4A" w:rsidRPr="00071135">
        <w:rPr>
          <w:rFonts w:ascii="Trebuchet MS" w:eastAsia="Times New Roman" w:hAnsi="Trebuchet MS" w:cs="Times New Roman"/>
          <w:b/>
          <w:bCs/>
          <w:i/>
          <w:lang w:val="ro-RO" w:eastAsia="en-GB"/>
        </w:rPr>
        <w:t xml:space="preserve"> </w:t>
      </w:r>
      <w:r w:rsidR="009A7F4A" w:rsidRPr="00071135">
        <w:rPr>
          <w:rFonts w:ascii="Trebuchet MS" w:eastAsia="Times New Roman" w:hAnsi="Trebuchet MS" w:cs="Times New Roman"/>
          <w:b/>
          <w:bCs/>
          <w:lang w:val="ro-RO" w:eastAsia="en-GB"/>
        </w:rPr>
        <w:t>Îmbunătățirea răspunsului dat de agricultura Uniunii exigențelor societale referitoare la hrană și la sănătate, inclusiv la alimente de înaltă calitate, sigure și hrănitoare produse într-un mod durabil, reducerea deșeurilor alimentare, precum și îmbunătățirea bunăstării animalelor și combaterea rezistenței la antimicrobiene</w:t>
      </w:r>
      <w:r w:rsidR="00D60E14" w:rsidRPr="00071135">
        <w:rPr>
          <w:rFonts w:ascii="Trebuchet MS" w:eastAsia="Times New Roman" w:hAnsi="Trebuchet MS" w:cs="Times New Roman"/>
          <w:lang w:val="ro-RO" w:eastAsia="en-GB"/>
        </w:rPr>
        <w:t>.</w:t>
      </w:r>
    </w:p>
    <w:p w:rsidR="009744D0" w:rsidRPr="00071135" w:rsidRDefault="00785E62"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lastRenderedPageBreak/>
        <w:t xml:space="preserve">3. </w:t>
      </w:r>
      <w:r w:rsidR="00E1464B" w:rsidRPr="00071135">
        <w:rPr>
          <w:rFonts w:ascii="Trebuchet MS" w:eastAsia="Times New Roman" w:hAnsi="Trebuchet MS" w:cs="Times New Roman"/>
          <w:b/>
          <w:bCs/>
          <w:lang w:val="ro-RO" w:eastAsia="en-GB"/>
        </w:rPr>
        <w:t>Nevoile la care răspunde intervenția</w:t>
      </w:r>
    </w:p>
    <w:tbl>
      <w:tblPr>
        <w:tblStyle w:val="TableGrid"/>
        <w:tblW w:w="5000" w:type="pct"/>
        <w:tblLook w:val="04A0" w:firstRow="1" w:lastRow="0" w:firstColumn="1" w:lastColumn="0" w:noHBand="0" w:noVBand="1"/>
      </w:tblPr>
      <w:tblGrid>
        <w:gridCol w:w="871"/>
        <w:gridCol w:w="4475"/>
        <w:gridCol w:w="2480"/>
        <w:gridCol w:w="2085"/>
      </w:tblGrid>
      <w:tr w:rsidR="00071135" w:rsidRPr="00071135" w:rsidTr="00894F87">
        <w:tc>
          <w:tcPr>
            <w:tcW w:w="439" w:type="pct"/>
            <w:vAlign w:val="center"/>
          </w:tcPr>
          <w:p w:rsidR="00785E62" w:rsidRPr="00071135" w:rsidRDefault="00785E62" w:rsidP="00420A83">
            <w:pPr>
              <w:keepNext/>
              <w:numPr>
                <w:ilvl w:val="2"/>
                <w:numId w:val="0"/>
              </w:numPr>
              <w:tabs>
                <w:tab w:val="num" w:pos="737"/>
              </w:tabs>
              <w:spacing w:before="120" w:after="120"/>
              <w:jc w:val="center"/>
              <w:rPr>
                <w:rFonts w:ascii="Trebuchet MS" w:hAnsi="Trebuchet MS"/>
                <w:b/>
                <w:lang w:val="ro-RO"/>
              </w:rPr>
            </w:pPr>
            <w:r w:rsidRPr="00071135">
              <w:rPr>
                <w:rFonts w:ascii="Trebuchet MS" w:hAnsi="Trebuchet MS"/>
                <w:b/>
                <w:lang w:val="ro-RO"/>
              </w:rPr>
              <w:t>Cod</w:t>
            </w:r>
          </w:p>
        </w:tc>
        <w:tc>
          <w:tcPr>
            <w:tcW w:w="2257" w:type="pct"/>
            <w:vAlign w:val="center"/>
          </w:tcPr>
          <w:p w:rsidR="00785E62" w:rsidRPr="00071135" w:rsidRDefault="00785E62" w:rsidP="00420A83">
            <w:pPr>
              <w:keepNext/>
              <w:numPr>
                <w:ilvl w:val="2"/>
                <w:numId w:val="0"/>
              </w:numPr>
              <w:tabs>
                <w:tab w:val="num" w:pos="737"/>
              </w:tabs>
              <w:spacing w:before="120" w:after="120"/>
              <w:jc w:val="center"/>
              <w:rPr>
                <w:rFonts w:ascii="Trebuchet MS" w:hAnsi="Trebuchet MS"/>
                <w:b/>
                <w:lang w:val="ro-RO"/>
              </w:rPr>
            </w:pPr>
            <w:r w:rsidRPr="00071135">
              <w:rPr>
                <w:rFonts w:ascii="Trebuchet MS" w:hAnsi="Trebuchet MS"/>
                <w:b/>
                <w:lang w:val="ro-RO"/>
              </w:rPr>
              <w:t>Titl</w:t>
            </w:r>
            <w:r w:rsidR="00D2617E" w:rsidRPr="00071135">
              <w:rPr>
                <w:rFonts w:ascii="Trebuchet MS" w:hAnsi="Trebuchet MS"/>
                <w:b/>
                <w:lang w:val="ro-RO"/>
              </w:rPr>
              <w:t>u</w:t>
            </w:r>
          </w:p>
        </w:tc>
        <w:tc>
          <w:tcPr>
            <w:tcW w:w="1251" w:type="pct"/>
            <w:vAlign w:val="center"/>
          </w:tcPr>
          <w:p w:rsidR="00785E62" w:rsidRPr="00071135" w:rsidRDefault="00785E62" w:rsidP="00420A83">
            <w:pPr>
              <w:keepNext/>
              <w:numPr>
                <w:ilvl w:val="2"/>
                <w:numId w:val="0"/>
              </w:numPr>
              <w:tabs>
                <w:tab w:val="num" w:pos="737"/>
              </w:tabs>
              <w:spacing w:before="120" w:after="120"/>
              <w:jc w:val="center"/>
              <w:rPr>
                <w:rFonts w:ascii="Trebuchet MS" w:hAnsi="Trebuchet MS"/>
                <w:b/>
                <w:lang w:val="ro-RO"/>
              </w:rPr>
            </w:pPr>
            <w:r w:rsidRPr="00071135">
              <w:rPr>
                <w:rFonts w:ascii="Trebuchet MS" w:hAnsi="Trebuchet MS"/>
                <w:b/>
                <w:lang w:val="ro-RO"/>
              </w:rPr>
              <w:t>Prioritizare la nivelul planului strategic</w:t>
            </w:r>
          </w:p>
        </w:tc>
        <w:tc>
          <w:tcPr>
            <w:tcW w:w="1052" w:type="pct"/>
            <w:vAlign w:val="center"/>
          </w:tcPr>
          <w:p w:rsidR="00785E62" w:rsidRPr="00071135" w:rsidRDefault="00785E62" w:rsidP="00420A83">
            <w:pPr>
              <w:keepNext/>
              <w:numPr>
                <w:ilvl w:val="2"/>
                <w:numId w:val="0"/>
              </w:numPr>
              <w:tabs>
                <w:tab w:val="num" w:pos="737"/>
              </w:tabs>
              <w:spacing w:before="120" w:after="120"/>
              <w:jc w:val="center"/>
              <w:rPr>
                <w:rFonts w:ascii="Trebuchet MS" w:hAnsi="Trebuchet MS"/>
                <w:b/>
                <w:lang w:val="ro-RO"/>
              </w:rPr>
            </w:pPr>
            <w:r w:rsidRPr="00071135">
              <w:rPr>
                <w:rFonts w:ascii="Trebuchet MS" w:hAnsi="Trebuchet MS"/>
                <w:b/>
                <w:lang w:val="ro-RO"/>
              </w:rPr>
              <w:t>Adre</w:t>
            </w:r>
            <w:r w:rsidR="00D2617E" w:rsidRPr="00071135">
              <w:rPr>
                <w:rFonts w:ascii="Trebuchet MS" w:hAnsi="Trebuchet MS"/>
                <w:b/>
                <w:lang w:val="ro-RO"/>
              </w:rPr>
              <w:t>sată</w:t>
            </w:r>
            <w:r w:rsidRPr="00071135">
              <w:rPr>
                <w:rFonts w:ascii="Trebuchet MS" w:hAnsi="Trebuchet MS"/>
                <w:b/>
                <w:lang w:val="ro-RO"/>
              </w:rPr>
              <w:t xml:space="preserve"> </w:t>
            </w:r>
            <w:r w:rsidR="00D2617E" w:rsidRPr="00071135">
              <w:rPr>
                <w:rFonts w:ascii="Trebuchet MS" w:hAnsi="Trebuchet MS"/>
                <w:b/>
                <w:lang w:val="ro-RO"/>
              </w:rPr>
              <w:t>î</w:t>
            </w:r>
            <w:r w:rsidRPr="00071135">
              <w:rPr>
                <w:rFonts w:ascii="Trebuchet MS" w:hAnsi="Trebuchet MS"/>
                <w:b/>
                <w:lang w:val="ro-RO"/>
              </w:rPr>
              <w:t xml:space="preserve">n </w:t>
            </w:r>
            <w:r w:rsidR="00D2617E" w:rsidRPr="00071135">
              <w:rPr>
                <w:rFonts w:ascii="Trebuchet MS" w:hAnsi="Trebuchet MS"/>
                <w:b/>
                <w:lang w:val="ro-RO"/>
              </w:rPr>
              <w:t>PNS</w:t>
            </w:r>
          </w:p>
        </w:tc>
      </w:tr>
      <w:tr w:rsidR="00071135" w:rsidRPr="00071135" w:rsidTr="00894F87">
        <w:tc>
          <w:tcPr>
            <w:tcW w:w="439" w:type="pct"/>
          </w:tcPr>
          <w:p w:rsidR="00894F87" w:rsidRPr="00071135" w:rsidRDefault="00894F87"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N</w:t>
            </w:r>
            <w:r w:rsidR="008C5DAA" w:rsidRPr="00071135">
              <w:rPr>
                <w:rFonts w:ascii="Trebuchet MS" w:hAnsi="Trebuchet MS"/>
                <w:bCs/>
                <w:lang w:val="ro-RO"/>
              </w:rPr>
              <w:t xml:space="preserve"> 014</w:t>
            </w:r>
          </w:p>
        </w:tc>
        <w:tc>
          <w:tcPr>
            <w:tcW w:w="2257" w:type="pct"/>
          </w:tcPr>
          <w:p w:rsidR="00894F87" w:rsidRPr="00071135" w:rsidRDefault="00894F87" w:rsidP="00A71EF0">
            <w:pPr>
              <w:keepNext/>
              <w:numPr>
                <w:ilvl w:val="2"/>
                <w:numId w:val="0"/>
              </w:numPr>
              <w:tabs>
                <w:tab w:val="num" w:pos="737"/>
              </w:tabs>
              <w:spacing w:before="120" w:after="120"/>
              <w:jc w:val="both"/>
              <w:rPr>
                <w:rFonts w:ascii="Trebuchet MS" w:hAnsi="Trebuchet MS"/>
                <w:b/>
                <w:bCs/>
              </w:rPr>
            </w:pPr>
            <w:r w:rsidRPr="00071135">
              <w:rPr>
                <w:b/>
                <w:bCs/>
                <w:sz w:val="24"/>
                <w:lang w:val="ro-RO"/>
              </w:rPr>
              <w:t>Menținerea sau adoptarea unor practici agricole extensive care să asigure reducerea emisiilor de gaze cu efect de seră</w:t>
            </w:r>
          </w:p>
        </w:tc>
        <w:tc>
          <w:tcPr>
            <w:tcW w:w="1251" w:type="pct"/>
          </w:tcPr>
          <w:p w:rsidR="00894F87" w:rsidRPr="00071135" w:rsidRDefault="00894F87" w:rsidP="00420A83">
            <w:pPr>
              <w:keepNext/>
              <w:numPr>
                <w:ilvl w:val="2"/>
                <w:numId w:val="0"/>
              </w:numPr>
              <w:tabs>
                <w:tab w:val="num" w:pos="737"/>
              </w:tabs>
              <w:spacing w:before="120" w:after="120"/>
              <w:jc w:val="both"/>
              <w:rPr>
                <w:rFonts w:ascii="Trebuchet MS" w:hAnsi="Trebuchet MS"/>
                <w:bCs/>
                <w:lang w:val="ro-RO"/>
              </w:rPr>
            </w:pPr>
          </w:p>
        </w:tc>
        <w:tc>
          <w:tcPr>
            <w:tcW w:w="1052" w:type="pct"/>
          </w:tcPr>
          <w:p w:rsidR="00894F87" w:rsidRPr="00071135" w:rsidRDefault="00894F87"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DA</w:t>
            </w:r>
          </w:p>
        </w:tc>
      </w:tr>
      <w:tr w:rsidR="00071135" w:rsidRPr="00071135" w:rsidTr="00894F87">
        <w:tc>
          <w:tcPr>
            <w:tcW w:w="439" w:type="pct"/>
          </w:tcPr>
          <w:p w:rsidR="00894F87" w:rsidRPr="00071135" w:rsidRDefault="00F85DE8"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N</w:t>
            </w:r>
            <w:r w:rsidR="008C5DAA" w:rsidRPr="00071135">
              <w:rPr>
                <w:rFonts w:ascii="Trebuchet MS" w:hAnsi="Trebuchet MS"/>
                <w:bCs/>
                <w:lang w:val="ro-RO"/>
              </w:rPr>
              <w:t xml:space="preserve"> 021</w:t>
            </w:r>
          </w:p>
        </w:tc>
        <w:tc>
          <w:tcPr>
            <w:tcW w:w="2257" w:type="pct"/>
          </w:tcPr>
          <w:p w:rsidR="00894F87" w:rsidRPr="00071135" w:rsidRDefault="00F85DE8" w:rsidP="00A71EF0">
            <w:pPr>
              <w:keepNext/>
              <w:numPr>
                <w:ilvl w:val="2"/>
                <w:numId w:val="0"/>
              </w:numPr>
              <w:tabs>
                <w:tab w:val="num" w:pos="737"/>
              </w:tabs>
              <w:spacing w:before="120" w:after="120"/>
              <w:jc w:val="both"/>
              <w:rPr>
                <w:b/>
                <w:bCs/>
                <w:sz w:val="24"/>
                <w:lang w:val="ro-RO"/>
              </w:rPr>
            </w:pPr>
            <w:r w:rsidRPr="00071135">
              <w:rPr>
                <w:b/>
                <w:bCs/>
                <w:sz w:val="24"/>
                <w:lang w:val="ro-RO"/>
              </w:rPr>
              <w:t>Menținerea sau adoptarea unor practici agricole extensive care să asigure protecția resurselor de apă împotriva poluării</w:t>
            </w:r>
          </w:p>
        </w:tc>
        <w:tc>
          <w:tcPr>
            <w:tcW w:w="1251" w:type="pct"/>
          </w:tcPr>
          <w:p w:rsidR="00894F87" w:rsidRPr="00071135" w:rsidRDefault="00894F87" w:rsidP="00420A83">
            <w:pPr>
              <w:keepNext/>
              <w:numPr>
                <w:ilvl w:val="2"/>
                <w:numId w:val="0"/>
              </w:numPr>
              <w:tabs>
                <w:tab w:val="num" w:pos="737"/>
              </w:tabs>
              <w:spacing w:before="120" w:after="120"/>
              <w:jc w:val="both"/>
              <w:rPr>
                <w:rFonts w:ascii="Trebuchet MS" w:hAnsi="Trebuchet MS"/>
                <w:bCs/>
                <w:lang w:val="ro-RO"/>
              </w:rPr>
            </w:pPr>
          </w:p>
        </w:tc>
        <w:tc>
          <w:tcPr>
            <w:tcW w:w="1052" w:type="pct"/>
          </w:tcPr>
          <w:p w:rsidR="00894F87" w:rsidRPr="00071135" w:rsidRDefault="00F85DE8"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DA</w:t>
            </w:r>
          </w:p>
        </w:tc>
      </w:tr>
      <w:tr w:rsidR="00071135" w:rsidRPr="00071135" w:rsidTr="00894F87">
        <w:tc>
          <w:tcPr>
            <w:tcW w:w="439" w:type="pct"/>
          </w:tcPr>
          <w:p w:rsidR="00785E62" w:rsidRPr="00071135" w:rsidRDefault="00785E62"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N</w:t>
            </w:r>
            <w:r w:rsidR="008C5DAA" w:rsidRPr="00071135">
              <w:rPr>
                <w:rFonts w:ascii="Trebuchet MS" w:hAnsi="Trebuchet MS"/>
                <w:bCs/>
                <w:lang w:val="ro-RO"/>
              </w:rPr>
              <w:t xml:space="preserve"> 045</w:t>
            </w:r>
          </w:p>
        </w:tc>
        <w:tc>
          <w:tcPr>
            <w:tcW w:w="2257" w:type="pct"/>
          </w:tcPr>
          <w:p w:rsidR="00785E62" w:rsidRPr="00071135" w:rsidRDefault="009A7F4A" w:rsidP="00A71EF0">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
                <w:bCs/>
              </w:rPr>
              <w:t>Asigurarea unor condiții superioare de bunăstare a animalelor</w:t>
            </w:r>
          </w:p>
        </w:tc>
        <w:tc>
          <w:tcPr>
            <w:tcW w:w="1251" w:type="pct"/>
          </w:tcPr>
          <w:p w:rsidR="00785E62" w:rsidRPr="00071135"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rsidR="00785E62" w:rsidRPr="00071135" w:rsidRDefault="00785E62" w:rsidP="00420A83">
            <w:pPr>
              <w:keepNext/>
              <w:numPr>
                <w:ilvl w:val="2"/>
                <w:numId w:val="0"/>
              </w:numPr>
              <w:tabs>
                <w:tab w:val="num" w:pos="737"/>
              </w:tabs>
              <w:spacing w:before="120" w:after="120"/>
              <w:jc w:val="both"/>
              <w:rPr>
                <w:rFonts w:ascii="Trebuchet MS" w:hAnsi="Trebuchet MS"/>
                <w:bCs/>
                <w:lang w:val="ro-RO"/>
              </w:rPr>
            </w:pPr>
            <w:r w:rsidRPr="00071135">
              <w:rPr>
                <w:rFonts w:ascii="Trebuchet MS" w:hAnsi="Trebuchet MS"/>
                <w:bCs/>
                <w:lang w:val="ro-RO"/>
              </w:rPr>
              <w:t>DA</w:t>
            </w:r>
          </w:p>
        </w:tc>
      </w:tr>
    </w:tbl>
    <w:p w:rsidR="001B426C" w:rsidRPr="00071135" w:rsidRDefault="00785E62"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4. </w:t>
      </w:r>
      <w:r w:rsidR="00D46B9A" w:rsidRPr="00071135">
        <w:rPr>
          <w:rFonts w:ascii="Trebuchet MS" w:eastAsia="Times New Roman" w:hAnsi="Trebuchet MS" w:cs="Times New Roman"/>
          <w:b/>
          <w:bCs/>
          <w:lang w:val="ro-RO" w:eastAsia="en-GB"/>
        </w:rPr>
        <w:t>Indicatori de rezultat</w:t>
      </w:r>
    </w:p>
    <w:p w:rsidR="00F85DE8" w:rsidRPr="00071135" w:rsidRDefault="00F85DE8"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071135">
        <w:rPr>
          <w:rFonts w:ascii="Trebuchet MS" w:eastAsia="Arial" w:hAnsi="Trebuchet MS" w:cstheme="majorHAnsi"/>
          <w:b/>
          <w:lang w:val="ro-RO"/>
        </w:rPr>
        <w:t>R.13 Reducerea emisiilor GES în sectorul zootehnic</w:t>
      </w:r>
      <w:r w:rsidR="00811B5F" w:rsidRPr="00071135">
        <w:rPr>
          <w:rFonts w:ascii="Trebuchet MS" w:eastAsia="Arial" w:hAnsi="Trebuchet MS" w:cstheme="majorHAnsi"/>
          <w:b/>
          <w:lang w:val="ro-RO"/>
        </w:rPr>
        <w:t>: Ponderea unităților vită mare (UVM) care beneficiază de sprijin pentru reducerea emisiilor de GES și/sau amoniac, inclusiv gestionarea gunoiului de grajd</w:t>
      </w:r>
    </w:p>
    <w:p w:rsidR="00811B5F" w:rsidRPr="00071135" w:rsidRDefault="004230FA"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hyperlink w:anchor="R22a" w:history="1">
        <w:r w:rsidR="00811B5F" w:rsidRPr="00071135">
          <w:rPr>
            <w:rFonts w:ascii="Trebuchet MS" w:eastAsia="Arial" w:hAnsi="Trebuchet MS" w:cstheme="majorHAnsi"/>
            <w:b/>
            <w:lang w:val="ro-RO"/>
          </w:rPr>
          <w:t>R.2</w:t>
        </w:r>
        <w:r w:rsidR="00B232AE" w:rsidRPr="00071135">
          <w:rPr>
            <w:rFonts w:ascii="Trebuchet MS" w:eastAsia="Arial" w:hAnsi="Trebuchet MS" w:cstheme="majorHAnsi"/>
            <w:b/>
            <w:lang w:val="ro-RO"/>
          </w:rPr>
          <w:t>5</w:t>
        </w:r>
      </w:hyperlink>
      <w:r w:rsidR="00811B5F" w:rsidRPr="00071135">
        <w:rPr>
          <w:rFonts w:ascii="Trebuchet MS" w:eastAsia="Arial" w:hAnsi="Trebuchet MS" w:cstheme="majorHAnsi"/>
          <w:b/>
          <w:lang w:val="ro-RO"/>
        </w:rPr>
        <w:t xml:space="preserve"> Performanța de mediu în sectorul zootehnic: Ponderea unităților vită mare (UVM) în cadrul angajamentelor de îmbunătățire a durabilității mediului</w:t>
      </w:r>
    </w:p>
    <w:p w:rsidR="00E76D9B" w:rsidRPr="00071135" w:rsidRDefault="009A7F4A"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lang w:val="ro-RO" w:eastAsia="en-GB"/>
        </w:rPr>
      </w:pPr>
      <w:r w:rsidRPr="00071135">
        <w:rPr>
          <w:rFonts w:ascii="Trebuchet MS" w:eastAsia="Arial" w:hAnsi="Trebuchet MS" w:cstheme="majorHAnsi"/>
          <w:b/>
          <w:lang w:val="ro-RO"/>
        </w:rPr>
        <w:t>R.</w:t>
      </w:r>
      <w:r w:rsidR="00C74794" w:rsidRPr="00071135">
        <w:rPr>
          <w:rFonts w:ascii="Trebuchet MS" w:eastAsia="Arial" w:hAnsi="Trebuchet MS" w:cstheme="majorHAnsi"/>
          <w:b/>
          <w:lang w:val="ro-RO"/>
        </w:rPr>
        <w:t>44</w:t>
      </w:r>
      <w:r w:rsidRPr="00071135">
        <w:rPr>
          <w:b/>
        </w:rPr>
        <w:t xml:space="preserve"> </w:t>
      </w:r>
      <w:r w:rsidRPr="00071135">
        <w:rPr>
          <w:rFonts w:ascii="Trebuchet MS" w:eastAsia="Arial" w:hAnsi="Trebuchet MS" w:cstheme="majorHAnsi"/>
          <w:b/>
          <w:lang w:val="ro-RO"/>
        </w:rPr>
        <w:t>Îmbunătățirea bunăstării animalelor: Ponderea unităților vită mare (UVM) vizate de acțiuni care beneficiază de sprijin pentru îmbunătățirea bunăstării animalelor</w:t>
      </w:r>
    </w:p>
    <w:p w:rsidR="00D2617E" w:rsidRPr="00071135" w:rsidRDefault="00D2617E" w:rsidP="00420A83">
      <w:pPr>
        <w:keepNext/>
        <w:spacing w:before="120" w:after="120" w:line="240" w:lineRule="auto"/>
        <w:jc w:val="both"/>
        <w:rPr>
          <w:rFonts w:ascii="Trebuchet MS" w:eastAsia="Times New Roman" w:hAnsi="Trebuchet MS" w:cs="Times New Roman"/>
          <w:b/>
          <w:bCs/>
          <w:lang w:val="ro-RO" w:eastAsia="en-GB"/>
        </w:rPr>
      </w:pPr>
      <w:bookmarkStart w:id="16" w:name="_Toc77173504"/>
      <w:bookmarkStart w:id="17" w:name="_Toc77675098"/>
      <w:bookmarkStart w:id="18" w:name="_Toc78293398"/>
      <w:bookmarkStart w:id="19" w:name="_Toc78296341"/>
      <w:bookmarkStart w:id="20" w:name="_Toc78379346"/>
      <w:bookmarkStart w:id="21" w:name="_Toc78384998"/>
      <w:bookmarkStart w:id="22" w:name="_Toc78389858"/>
      <w:bookmarkStart w:id="23" w:name="_Toc81568693"/>
      <w:bookmarkStart w:id="24" w:name="_Toc81569481"/>
      <w:bookmarkStart w:id="25" w:name="_Toc81572466"/>
      <w:bookmarkStart w:id="26" w:name="_Toc82098796"/>
      <w:bookmarkStart w:id="27" w:name="_Hlk86673349"/>
      <w:r w:rsidRPr="00071135">
        <w:rPr>
          <w:rFonts w:ascii="Trebuchet MS" w:eastAsia="Times New Roman" w:hAnsi="Trebuchet MS" w:cs="Times New Roman"/>
          <w:b/>
          <w:bCs/>
          <w:lang w:val="ro-RO" w:eastAsia="en-GB"/>
        </w:rPr>
        <w:t xml:space="preserve">5. Design, cerințele specifice și condițiile de eligibilitate ale intervenției </w:t>
      </w:r>
    </w:p>
    <w:bookmarkEnd w:id="16"/>
    <w:bookmarkEnd w:id="17"/>
    <w:bookmarkEnd w:id="18"/>
    <w:bookmarkEnd w:id="19"/>
    <w:bookmarkEnd w:id="20"/>
    <w:bookmarkEnd w:id="21"/>
    <w:bookmarkEnd w:id="22"/>
    <w:bookmarkEnd w:id="23"/>
    <w:bookmarkEnd w:id="24"/>
    <w:bookmarkEnd w:id="25"/>
    <w:bookmarkEnd w:id="26"/>
    <w:bookmarkEnd w:id="27"/>
    <w:p w:rsidR="0098635F" w:rsidRPr="00071135"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rsidR="0098635F" w:rsidRPr="00071135"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Intervenția - Bunăstarea animalelor vizează stimularea aplicării unor standarde superioare de bunăstare a animalelor în fermele de porci şi păsări, care depăşesc standardele minime obligatorii, răspunzând nevoilor privind siguranţa alimentară şi asigurarea calităţii produselor alimentare prin îmbunătăţirea sănătăţii animalelor în urma adaptării condiţiilor de hrănire, adăpare şi adăpostire a acestora. Prin aceasta se garantează asigurarea sănătăţii populaţiei, răspunzându-se interesului consumatorilor pentru produse provenite din carne de porc şi pasăre crescute în condiţii superioare de bunăstare, pe fondul preferinţei actuale a acestora pentru o calitate superioară a acestor produse.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În România, sprijinul privind bunăstarea animalelor a fost introdus în PNDR 2007-2013 prin M.215 – plăți privind bunăstarea animalelor și în PNDR 2014-2020 prin M 14 din anul 2018.</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Urmare a sprijinului financiar acordat din foduri FEADR a crescut ponderea exploatațiilor comerciale care aplică în prezent standarde superioare de bunăstare a animalelor la 90,4% în sectorul de creștere a porcilor și la 84% în sectorul avicol.</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Asigurarea condițiilor superioare de bunăstare în România s-a realizat la specia suine (la categoria porc gras de la greutatea de 30 kg și la categoria femele de reproducție – scrofițe și scoafe) și la păsări (categoria pui de carne, pui de curcă, găini de reproducție rase grele și găini ouătoare).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Impactul asupra sănătății și bunăstării animalelor ca urmare a aplicării unor standarde superioare de bunăstare se referă la aspecte care vizează reducerea incidenţei bolilor şi a mortalității în ferme, scăderea incidenței luptei pentru hrană corelată cu reducerea cazurilor de comportament anormal si a leziunilor traumatice, scăderea incidenței folosirii medicamentelor, vaccinărilor și a altor tipuri de medicații, fapt care conduce implicit în final la îmbunătăţirea performanțelor de producție și reproducție, la îmbunătățirea siguranţei alimentare şi sănătăţii publice, dar și la îmbunătăţirea factorilor de mediu (rezultată în urma reducerii poluării apelor şi a emisiilor de gaze).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lastRenderedPageBreak/>
        <w:t>Începând cu anul 2012 de când s-au implementat angajamente de asigurare a condițiilor superioare de bunăstare la păsări și la suine s-a constatat că standardele superioare de bunăstare constitue factorul determinant al impactului asupra sănătății și bunăstării animalelor în condițiile în care sunt asigurate aceeași calitate a furajelor și aceleași tehnologi de creștere și exploatare ca și în cazul asigurării condițiilor minime de bunăstare în exploatațiile care aplică practicile convenționale. Aceste constări sunt susținute de analizele realizate de Autoritatea Națională Sanitar-Veterinară și pentru Siguranța Animalelor care au ținut cont și de rasă, hibrid și scheme de vaccinare și tratamente aplicate animalelor crescute și exploatate în condiții superioare de bunăstare.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Aplicarea măsurii de bunăstare a animalelor a avut un impact direct și asupra consumatorilor, reflectându-se în creșterea consumului produselor de carne de porc, pasăre și ouă de către populație (în condițiile în care 90% din carnea de porc și 95% din carnea de pasăre livrată pe piață provine de la animale crescute în condiții superioare de bunăstare).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Susținerea unor standarde superioare de bunăstare a păsărilor și suinelor în perioadele anterioare de programare a dus la îmbunătățirea mediului și a spațiului rural prin reducerea emisiilor de gaze cu efect de seră, pulberi și amoniac din hale de exploatare a păsărilor și porcilor, cu impact pozitiv asupra comunităţilor locale din proximitate.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Prin Intervenția – Bunăstarea animalelor, România alege să promoveze încurajarea în continuare a fermierilor cu scopul adoptării la scară largă a unor standarde ridicate de bunăstare a animalelor, garantându-se astfel păstrarea caracteristicilor și creşterea calității produselor alimentare, care prin depășirea semnificativă a standardelor comerciale minime aplicabile produselor de larg consum contribuie consistent la sănătatea publică, sănătatea animalelor, bunăstarea animalelor şi la protecția mediului. Producția agricolă de calitate este dependentă de adoptarea acestor standarde ridicate de bunăstare a animalelor de către fermierii care se angajează pe baze voluntare să desfășoare operațiuni constând în mai multe angajamente în favoarea bunăstării animalelor.</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Standardele superioare de bunăstare în fermele de porci și păsări sunt direct legate de tehnologiile aplicate în ferme și îmbunătățesc starea de sănătate a animalelor, reduc consumul de medicamente, iar în secundar influențează pozitiv indicatorii tehnici și performanțele în creșterea și reproducția porcilor și păsărilor, contribuind direct la calitatea și siguranța alimentelor, toate acestea cu impact pozitiv asupra sănătății publice. În acelaşi timp, susținerea unor standarde superioare de bunăstare a păsărilor și suinelor conduce la îmbunătățirea mediului și a spațiului rural prin reducerea emisiilor de gaze cu efect de seră, pulberi și amoniac din hale de exploatare a păsărilor și porcilor. Reducerea stresului la animalele care beneficiază de condiții superioare de bunăstare a condus la diminuarea sau eliminarea unor factori ce afectează atât sănătatea, cât și performanțele productive (spor zilnic mediu, rata de conversie a furajelor, rata de reproducţie, rata înbolnăvirilor şi cea a mortalităţii, etc.) ale păsărilor și porcilor, ceea ce indică faptul că asigurarea unor standarde superioare de bunăstare a animalelor asigură o stare generală de bine acestora. Concomitent cu performanțele de producție ridicate s-au obținut rezultate deosebite în ceea ce privește ameliorarea caracterelor care influențează procentul de carne în carcasă și stratul de grăsime, ceea ce de asemenea indică îmbunăţirea în ansamblu a calităţii vieţii animalelor care beneficiază de condiţii superioare de bunăstare.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Fermierii au fost și sunt interesați în a face investiții din surse proprii sau atrase, cu scopul de a corespunde standardelor superioare de bunăstarea animalelor, au perfecționat sistemele de aplicare, monitorizare și control în ferme pentru lumină, încălzire, noxe, apa de adăpare, zona de odihnă.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În secundar, aplicarea standardelor superioare de bunăstare a animalelor va contribui la reducerea emisiilor din sectorul de creştere a animalelor şi la îmbunătăţirea factorilor de mediu (în special prin reducerea gradului de poluare a apelor şi solului).</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Aşadar, continuarea eforturilor de încurajare a aplicării standardelor superioare de bunăstare a animalelor este atât o obligaţie a Statelor Membre stipulată de art. 13 din Tratatul privind funcţionarea Uniunii Europene (TFUE), dar şi o nevoie esenţială pentru asigurarea siguranţei şi securităţii alimentare pentru cetăţenii Uniunii Europene.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 xml:space="preserve">În acest sens, în cadrul Intervenției – Bunăstarea animalelor a PNS 2023-2027, România optează pentru încurajarea aplicării standardelor superioare de bunăstare a porcilor (Pachetul a) şi a păsărilor (Pachetul b). </w:t>
      </w:r>
    </w:p>
    <w:p w:rsidR="00B232AE" w:rsidRPr="00071135" w:rsidRDefault="00B232AE"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Legislatie UE: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Directiva Consiliului 98/58 / CE a Consiliului din 20 iulie 1998 privind protecția animalelor de fermă,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lastRenderedPageBreak/>
        <w:t>Directiva Consiliului 2008/120 / CE a Consiliului din 18 decembrie 2008 de stabilire a normelor minime de protecție a porcilor.</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Directiva 1999/74 / CE a Consiliului din 19 iulie 1999 de stabilire a standardelor minime pentru protecția găinilor ouătoare,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Directiva 2007/43 / CE a Consiliului din 28 iunie 2007 de stabilire a normelor minime de protecție a puilor destinați producției de carne.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Legislație națională: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Ordinului ANSVSA nr. 202/2006 pentru aprobarea Normei sanitare veterinare care stabileşte standardele minime pentru protecţia porcinelor,</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129/2017 pentru aprobarea Normelor metodologice de monitorizare a standardelor de microclimat, în vederea asigurării statusului minim de bunăstare a porcinelor din exploataţiile comerciale,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75/2005 pentru aprobarea Normei sanitare veterinare privind protecţia animalelor de fermă.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63 din 10 octombrie 2012 pentru aprobarea Normei sanitare veterinare care stabişte standardele minime privind protecţia păsărilor în fermă şi în timpul transportului,</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136/2006 pentru aprobarea Normei sanitare veterinare privind standardele minime pentru protecţia găinilor ouătoare cu modificările şi completările ulterioare,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73/2005 pentru aprobarea Normei sanitare veterinare privind înregistrarea exploataţiilor care deţin găini ouătoare,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Ordinul ANSVSA nr. 30/2010 pentru aprobarea Normei sanitare privind stabilirea normelor minime de protecţie a puilor destinaţi producţiei de carne.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Ordin ANSVSA nr. 21/05.03.2018 privind condițiile de biosecuritate aplicate în exploatațiile comerciale  de păsări, precum și condițiile privind mișcarea păsărilor vii și a subproduselor de la acestea.</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4C7876" w:rsidRPr="00071135" w:rsidRDefault="004C7876"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DE03EE" w:rsidRPr="00071135" w:rsidRDefault="002C63D0" w:rsidP="00420A83">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lang w:val="ro-RO"/>
        </w:rPr>
      </w:pPr>
      <w:r w:rsidRPr="00071135">
        <w:rPr>
          <w:rFonts w:ascii="Trebuchet MS" w:eastAsia="Times New Roman" w:hAnsi="Trebuchet MS" w:cs="Times New Roman"/>
          <w:b/>
          <w:bCs/>
          <w:iCs/>
          <w:lang w:val="ro-RO"/>
        </w:rPr>
        <w:t>D</w:t>
      </w:r>
      <w:r w:rsidRPr="00071135">
        <w:rPr>
          <w:rFonts w:ascii="Trebuchet MS" w:eastAsia="Times New Roman" w:hAnsi="Trebuchet MS" w:cs="Times New Roman"/>
          <w:b/>
          <w:iCs/>
          <w:lang w:val="ro-RO"/>
        </w:rPr>
        <w:t>efinirea beneficiarilor eligibili și condițiile de eligibilitate specifice legate de beneficiari și aria de aplicabilitate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u w:val="single"/>
          <w:lang w:val="en-US" w:eastAsia="en-GB"/>
        </w:rPr>
      </w:pPr>
      <w:r w:rsidRPr="00071135">
        <w:rPr>
          <w:rFonts w:ascii="Trebuchet MS" w:eastAsia="Times New Roman" w:hAnsi="Trebuchet MS" w:cs="Times New Roman"/>
          <w:b/>
          <w:bCs/>
          <w:u w:val="single"/>
          <w:lang w:val="ro-RO" w:eastAsia="en-GB"/>
        </w:rPr>
        <w:t>Beneficiari eligibili</w:t>
      </w:r>
      <w:r w:rsidRPr="00071135">
        <w:rPr>
          <w:rFonts w:ascii="Trebuchet MS" w:eastAsia="Times New Roman" w:hAnsi="Trebuchet MS" w:cs="Times New Roman"/>
          <w:b/>
          <w:bCs/>
          <w:u w:val="single"/>
          <w:lang w:val="en-US" w:eastAsia="en-GB"/>
        </w:rPr>
        <w:t>:</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 xml:space="preserve">Beneficiare ale sprijinului acordat prin intermediul acestei intervenții sunt exploatațiile comerciale din sectorul de creștere a porcinelor și din sectorul avicol, autorizate sanitar veterinar, </w:t>
      </w:r>
      <w:r w:rsidR="00B357C9" w:rsidRPr="00071135">
        <w:rPr>
          <w:rFonts w:ascii="Trebuchet MS" w:eastAsia="Times New Roman" w:hAnsi="Trebuchet MS" w:cs="Times New Roman"/>
          <w:bCs/>
          <w:lang w:val="ro-RO" w:eastAsia="en-GB"/>
        </w:rPr>
        <w:t>care se angajează anual</w:t>
      </w:r>
      <w:r w:rsidRPr="00071135">
        <w:rPr>
          <w:rFonts w:ascii="Trebuchet MS" w:eastAsia="Times New Roman" w:hAnsi="Trebuchet MS" w:cs="Times New Roman"/>
          <w:bCs/>
          <w:lang w:val="ro-RO" w:eastAsia="en-GB"/>
        </w:rPr>
        <w:t xml:space="preserve">, pe baze voluntare să adopte standarde de bunăstare care depășesc standardele obligatorii relevante. </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
          <w:bCs/>
          <w:lang w:val="ro-RO" w:eastAsia="en-GB"/>
        </w:rPr>
        <w:t>Exploatațiile comerciale din sectorul de creștere a porcinelor</w:t>
      </w:r>
      <w:r w:rsidRPr="00071135">
        <w:rPr>
          <w:rFonts w:ascii="Trebuchet MS" w:eastAsia="Times New Roman" w:hAnsi="Trebuchet MS" w:cs="Times New Roman"/>
          <w:bCs/>
          <w:lang w:val="ro-RO" w:eastAsia="en-GB"/>
        </w:rPr>
        <w:t xml:space="preserve"> autorizate sanitar veterinar care își asumă voluntar angajamente în favoarea bunăstării animalelor sunt eligibile în cadrul Pachetului a) al Intervenției Bunăstarea animalelor.</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Condiții de eligibilitate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Plăţile pentru bunăstarea porcilor pot fi acordate în cadrul intervenției/pachetului/subpachetului dacă beneficiarul:</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este înregistrat în Registrul Naţional al Exploataţiilor al ANSVSA şi deţine un cod de exploataţie,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deţine autorizaţie sanitară veterinară pentru întreaga exploatație cu cod ANSVSA,</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se angajează să respecte cerinţele de bază relevante și cerinţele specifice subpachetelor pentru care aplică pe întreaga perioadă a angajamentului.</w:t>
      </w:r>
    </w:p>
    <w:p w:rsidR="00B232AE" w:rsidRPr="00071135" w:rsidRDefault="00B232AE"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en-US" w:eastAsia="en-GB"/>
        </w:rPr>
      </w:pPr>
      <w:r w:rsidRPr="00071135">
        <w:rPr>
          <w:rFonts w:ascii="Trebuchet MS" w:eastAsia="Times New Roman" w:hAnsi="Trebuchet MS" w:cs="Times New Roman"/>
          <w:b/>
          <w:bCs/>
          <w:lang w:val="ro-RO" w:eastAsia="en-GB"/>
        </w:rPr>
        <w:t>Efectivele de animale eligibile</w:t>
      </w:r>
      <w:r w:rsidRPr="00071135">
        <w:rPr>
          <w:rFonts w:ascii="Trebuchet MS" w:eastAsia="Times New Roman" w:hAnsi="Trebuchet MS" w:cs="Times New Roman"/>
          <w:b/>
          <w:bCs/>
          <w:lang w:val="en-US" w:eastAsia="en-GB"/>
        </w:rPr>
        <w:t>:</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numărul maxim de cicluri de producţie eligibile în cadrul Intervenției – Bunăstarea animalelor pentru categoria porc gras (de la intrarea în categorie) este de 3,2 cicluri de producţie pe an.</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pentru categoria animale de reproducție femele (scrofițe și scroafe) este eligibil efectivul mediu anual.</w:t>
      </w:r>
    </w:p>
    <w:p w:rsidR="00B232AE" w:rsidRPr="00071135" w:rsidRDefault="00B232AE"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
          <w:bCs/>
          <w:lang w:val="ro-RO" w:eastAsia="en-GB"/>
        </w:rPr>
        <w:t>În categoriile de animale neeligibile</w:t>
      </w:r>
      <w:r w:rsidRPr="00071135">
        <w:rPr>
          <w:rFonts w:ascii="Trebuchet MS" w:eastAsia="Times New Roman" w:hAnsi="Trebuchet MS" w:cs="Times New Roman"/>
          <w:bCs/>
          <w:lang w:val="ro-RO" w:eastAsia="en-GB"/>
        </w:rPr>
        <w:t xml:space="preserve"> se încadrează: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animale care nu au intrat în categorie (ex. vieri),</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lastRenderedPageBreak/>
        <w:t>-</w:t>
      </w:r>
      <w:r w:rsidRPr="00071135">
        <w:rPr>
          <w:rFonts w:ascii="Trebuchet MS" w:eastAsia="Times New Roman" w:hAnsi="Trebuchet MS" w:cs="Times New Roman"/>
          <w:bCs/>
          <w:lang w:val="ro-RO" w:eastAsia="en-GB"/>
        </w:rPr>
        <w:tab/>
        <w:t>porcii grași a căror populare/intrare în exploataţie s-a realizat după intrarea în categorie (la o greutate medie de peste 30 kg/cap - rezultată din documenele de livrare),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porci grași livrați la o greutate medie de sub 96 de kg/cap (rezultată din documenele de livrare),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animalele reformă, cele sacrificate de necesitate și mortalitățile,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numărul de animale care depăşeşte capacitatea maximă anuală a exploataţiei.</w:t>
      </w:r>
    </w:p>
    <w:p w:rsidR="00171C8B" w:rsidRPr="00071135" w:rsidRDefault="00171C8B"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
          <w:bCs/>
          <w:lang w:val="ro-RO" w:eastAsia="en-GB"/>
        </w:rPr>
        <w:t>Exploatațiile comerciale din sectorul de creștere a păsărilor</w:t>
      </w:r>
      <w:r w:rsidRPr="00071135">
        <w:rPr>
          <w:rFonts w:ascii="Trebuchet MS" w:eastAsia="Times New Roman" w:hAnsi="Trebuchet MS" w:cs="Times New Roman"/>
          <w:bCs/>
          <w:lang w:val="ro-RO" w:eastAsia="en-GB"/>
        </w:rPr>
        <w:t xml:space="preserve"> autorizate sanitar veterinar, care își asumă voluntar angajamente în favoarea bunăstării animalelor sunt eligibile în cadrul acestui subpachet al Intervenției – Bunăstarea animalelor.</w:t>
      </w:r>
    </w:p>
    <w:p w:rsidR="00B232AE" w:rsidRPr="00071135" w:rsidRDefault="00B232AE"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Condiții de eligibilitate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 xml:space="preserve"> Plăţile pentru bunăstare păsărilor pot fi acordate în cadrul subpachetului dacă beneficiarul:</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deţine autorizaţie sanitară veterinară pentru în</w:t>
      </w:r>
      <w:r w:rsidR="00B357C9" w:rsidRPr="00071135">
        <w:rPr>
          <w:rFonts w:ascii="Trebuchet MS" w:eastAsia="Times New Roman" w:hAnsi="Trebuchet MS" w:cs="Times New Roman"/>
          <w:bCs/>
          <w:lang w:val="ro-RO" w:eastAsia="en-GB"/>
        </w:rPr>
        <w:t>treaga exploatație</w:t>
      </w:r>
      <w:r w:rsidRPr="00071135">
        <w:rPr>
          <w:rFonts w:ascii="Trebuchet MS" w:eastAsia="Times New Roman" w:hAnsi="Trebuchet MS" w:cs="Times New Roman"/>
          <w:bCs/>
          <w:lang w:val="ro-RO" w:eastAsia="en-GB"/>
        </w:rPr>
        <w:t>,</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se angajează să respecte cerinţele de bază relevante și cerinţele specifice subpachetelor pentru care aplică pe întreaga perioadă a angajamentului.</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Efective de păsări eligibile: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numărul maxim de cicluri de producţie eligibile în cadrul Intervenției - Bunăstarea animalelor pentru categoria pui de carne este de 6,5 cicluri de producţie pe an şi pentru categoria pui de curcă este de 3,7 cicluri de producţie pe an,</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pentru categoriile găini ouătoare şi găini de reproducţie rase grele este eligibil efectivul mediu anual.</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În consecinţă, pentru categoriile pentru care eligibilitatea vizează un număr maxim de cicluri de producţie pe an, pentru a fi considerat eligibil, durata unei ciclu de producţie trebuie să fie de minim 90% din perioada de referinţă a unui ciclu de referinţă (luată în calcul în metodologia de calcul a plăţilor compensatorii), iar vârsta minimă de la care animalele sunt eligibile este de 35 zile pentru categoria pui de carne şi 71 zile pentru categoria pui de curcă.</w:t>
      </w:r>
    </w:p>
    <w:p w:rsidR="00B232AE" w:rsidRPr="00071135" w:rsidRDefault="00B232AE"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
          <w:bCs/>
          <w:lang w:val="ro-RO" w:eastAsia="en-GB"/>
        </w:rPr>
        <w:t xml:space="preserve">În categoriile de păsări neeligibile </w:t>
      </w:r>
      <w:r w:rsidRPr="00071135">
        <w:rPr>
          <w:rFonts w:ascii="Trebuchet MS" w:eastAsia="Times New Roman" w:hAnsi="Trebuchet MS" w:cs="Times New Roman"/>
          <w:bCs/>
          <w:lang w:val="ro-RO" w:eastAsia="en-GB"/>
        </w:rPr>
        <w:t>se încadrează:</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păsările care nu au intrat în categorie (ex. pui zburați, tineret de înlocuire, cocoși de reproducție, etc.),</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păsările care nu au stat în exploataţie perioada minimă de eligibilitate a ciclului de producţie,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păsările reformă, cele sacrificate de necesitate și mortalitățile,</w:t>
      </w:r>
    </w:p>
    <w:p w:rsidR="00C74794" w:rsidRPr="00071135" w:rsidRDefault="00C74794" w:rsidP="00C7479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w:t>
      </w:r>
      <w:r w:rsidRPr="00071135">
        <w:rPr>
          <w:rFonts w:ascii="Trebuchet MS" w:eastAsia="Times New Roman" w:hAnsi="Trebuchet MS" w:cs="Times New Roman"/>
          <w:bCs/>
          <w:lang w:val="ro-RO" w:eastAsia="en-GB"/>
        </w:rPr>
        <w:tab/>
        <w:t>numărul de păsări care depăşeşte capacitatea maximă anuală a exploataţiei, inclusiv răririle (necesare pentru asigurarea densităţii pe întreaga perioadă a ciclului de producţie).</w:t>
      </w:r>
    </w:p>
    <w:p w:rsidR="002C63D0" w:rsidRPr="00071135" w:rsidRDefault="002C63D0" w:rsidP="00420A83">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ro-RO"/>
        </w:rPr>
      </w:pPr>
    </w:p>
    <w:p w:rsidR="001B426C" w:rsidRPr="00071135" w:rsidRDefault="00094F39" w:rsidP="00420A83">
      <w:pPr>
        <w:keepNext/>
        <w:spacing w:before="120" w:after="120" w:line="240" w:lineRule="auto"/>
        <w:jc w:val="both"/>
        <w:rPr>
          <w:rFonts w:ascii="Trebuchet MS" w:eastAsia="Times New Roman" w:hAnsi="Trebuchet MS" w:cs="Times New Roman"/>
          <w:b/>
          <w:lang w:val="ro-RO" w:eastAsia="en-GB"/>
        </w:rPr>
      </w:pPr>
      <w:r w:rsidRPr="00071135">
        <w:rPr>
          <w:rFonts w:ascii="Trebuchet MS" w:eastAsia="Times New Roman" w:hAnsi="Trebuchet MS" w:cs="Times New Roman"/>
          <w:b/>
          <w:iCs/>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rsidR="001B426C" w:rsidRPr="00071135" w:rsidRDefault="00CC3945"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bookmarkStart w:id="28" w:name="_Toc72170771"/>
      <w:bookmarkStart w:id="29" w:name="_Toc72171324"/>
      <w:bookmarkStart w:id="30" w:name="_Toc72171880"/>
      <w:bookmarkStart w:id="31" w:name="_Toc72172436"/>
      <w:bookmarkStart w:id="32" w:name="_Toc72172644"/>
      <w:bookmarkStart w:id="33" w:name="_Toc72173193"/>
      <w:bookmarkStart w:id="34" w:name="_Toc72173745"/>
      <w:bookmarkStart w:id="35" w:name="_Toc72174297"/>
      <w:bookmarkStart w:id="36" w:name="_Toc72174849"/>
      <w:bookmarkStart w:id="37" w:name="_Toc72175401"/>
      <w:bookmarkStart w:id="38" w:name="_Toc72175953"/>
      <w:bookmarkStart w:id="39" w:name="_Toc72176160"/>
      <w:bookmarkStart w:id="40" w:name="_Toc72176708"/>
      <w:bookmarkStart w:id="41" w:name="_Toc72177259"/>
      <w:bookmarkStart w:id="42" w:name="_Toc72177810"/>
      <w:bookmarkStart w:id="43" w:name="_Toc72178361"/>
      <w:bookmarkStart w:id="44" w:name="_Toc72178912"/>
      <w:bookmarkStart w:id="45" w:name="_Toc72179463"/>
      <w:bookmarkStart w:id="46" w:name="_Toc72180014"/>
      <w:bookmarkStart w:id="47" w:name="_Toc72180567"/>
      <w:bookmarkStart w:id="48" w:name="_Toc72181126"/>
      <w:bookmarkStart w:id="49" w:name="_Toc72181685"/>
      <w:bookmarkStart w:id="50" w:name="_Toc72182244"/>
      <w:bookmarkStart w:id="51" w:name="_Toc72182803"/>
      <w:bookmarkStart w:id="52" w:name="_Toc72183362"/>
      <w:bookmarkStart w:id="53" w:name="_Toc72429702"/>
      <w:bookmarkStart w:id="54" w:name="_Toc72513898"/>
      <w:bookmarkStart w:id="55" w:name="_Toc72514160"/>
      <w:bookmarkStart w:id="56" w:name="_Toc72514404"/>
      <w:bookmarkStart w:id="57" w:name="_Toc72934961"/>
      <w:bookmarkStart w:id="58" w:name="_Toc72935177"/>
      <w:bookmarkStart w:id="59" w:name="_Toc72170781"/>
      <w:bookmarkStart w:id="60" w:name="_Toc72171337"/>
      <w:bookmarkStart w:id="61" w:name="_Toc72171893"/>
      <w:bookmarkStart w:id="62" w:name="_Toc72172449"/>
      <w:bookmarkStart w:id="63" w:name="_Toc72172654"/>
      <w:bookmarkStart w:id="64" w:name="_Toc72173206"/>
      <w:bookmarkStart w:id="65" w:name="_Toc72173758"/>
      <w:bookmarkStart w:id="66" w:name="_Toc72174310"/>
      <w:bookmarkStart w:id="67" w:name="_Toc72174862"/>
      <w:bookmarkStart w:id="68" w:name="_Toc72175414"/>
      <w:bookmarkStart w:id="69" w:name="_Toc72175966"/>
      <w:bookmarkStart w:id="70" w:name="_Toc72176170"/>
      <w:bookmarkStart w:id="71" w:name="_Toc72176721"/>
      <w:bookmarkStart w:id="72" w:name="_Toc72177272"/>
      <w:bookmarkStart w:id="73" w:name="_Toc72177823"/>
      <w:bookmarkStart w:id="74" w:name="_Toc72178374"/>
      <w:bookmarkStart w:id="75" w:name="_Toc72178925"/>
      <w:bookmarkStart w:id="76" w:name="_Toc72179476"/>
      <w:bookmarkStart w:id="77" w:name="_Toc72180027"/>
      <w:bookmarkStart w:id="78" w:name="_Toc72180580"/>
      <w:bookmarkStart w:id="79" w:name="_Toc72181139"/>
      <w:bookmarkStart w:id="80" w:name="_Toc72181698"/>
      <w:bookmarkStart w:id="81" w:name="_Toc72182257"/>
      <w:bookmarkStart w:id="82" w:name="_Toc72182816"/>
      <w:bookmarkStart w:id="83" w:name="_Toc72183375"/>
      <w:bookmarkStart w:id="84" w:name="_Toc72429715"/>
      <w:bookmarkStart w:id="85" w:name="_Toc72513911"/>
      <w:bookmarkStart w:id="86" w:name="_Toc72514170"/>
      <w:bookmarkStart w:id="87" w:name="_Toc72514414"/>
      <w:bookmarkStart w:id="88" w:name="_Toc72934971"/>
      <w:bookmarkStart w:id="89" w:name="_Toc72935190"/>
      <w:bookmarkStart w:id="90" w:name="_Toc72170782"/>
      <w:bookmarkStart w:id="91" w:name="_Toc72171338"/>
      <w:bookmarkStart w:id="92" w:name="_Toc72171894"/>
      <w:bookmarkStart w:id="93" w:name="_Toc72172450"/>
      <w:bookmarkStart w:id="94" w:name="_Toc72172655"/>
      <w:bookmarkStart w:id="95" w:name="_Toc72173207"/>
      <w:bookmarkStart w:id="96" w:name="_Toc72173759"/>
      <w:bookmarkStart w:id="97" w:name="_Toc72174311"/>
      <w:bookmarkStart w:id="98" w:name="_Toc72174863"/>
      <w:bookmarkStart w:id="99" w:name="_Toc72175415"/>
      <w:bookmarkStart w:id="100" w:name="_Toc72175967"/>
      <w:bookmarkStart w:id="101" w:name="_Toc72176171"/>
      <w:bookmarkStart w:id="102" w:name="_Toc72176722"/>
      <w:bookmarkStart w:id="103" w:name="_Toc72177273"/>
      <w:bookmarkStart w:id="104" w:name="_Toc72177824"/>
      <w:bookmarkStart w:id="105" w:name="_Toc72178375"/>
      <w:bookmarkStart w:id="106" w:name="_Toc72178926"/>
      <w:bookmarkStart w:id="107" w:name="_Toc72179477"/>
      <w:bookmarkStart w:id="108" w:name="_Toc72180028"/>
      <w:bookmarkStart w:id="109" w:name="_Toc72180581"/>
      <w:bookmarkStart w:id="110" w:name="_Toc72181140"/>
      <w:bookmarkStart w:id="111" w:name="_Toc72181699"/>
      <w:bookmarkStart w:id="112" w:name="_Toc72182258"/>
      <w:bookmarkStart w:id="113" w:name="_Toc72182817"/>
      <w:bookmarkStart w:id="114" w:name="_Toc72183376"/>
      <w:bookmarkStart w:id="115" w:name="_Toc72429716"/>
      <w:bookmarkStart w:id="116" w:name="_Toc72513912"/>
      <w:bookmarkStart w:id="117" w:name="_Toc72514171"/>
      <w:bookmarkStart w:id="118" w:name="_Toc72514415"/>
      <w:bookmarkStart w:id="119" w:name="_Toc72934972"/>
      <w:bookmarkStart w:id="120" w:name="_Toc72935191"/>
      <w:bookmarkStart w:id="121" w:name="_Toc78465468"/>
      <w:bookmarkStart w:id="122" w:name="_Toc78465469"/>
      <w:bookmarkStart w:id="123" w:name="_Toc77666378"/>
      <w:bookmarkStart w:id="124" w:name="_Toc77666588"/>
      <w:bookmarkStart w:id="125" w:name="_Toc77666798"/>
      <w:bookmarkStart w:id="126" w:name="_Toc77667009"/>
      <w:bookmarkStart w:id="127" w:name="_Toc77668813"/>
      <w:bookmarkStart w:id="128" w:name="_Toc77669023"/>
      <w:bookmarkStart w:id="129" w:name="_Toc77669233"/>
      <w:bookmarkStart w:id="130" w:name="_Toc77669443"/>
      <w:bookmarkStart w:id="131" w:name="_Toc77669653"/>
      <w:bookmarkStart w:id="132" w:name="_Toc77669862"/>
      <w:bookmarkStart w:id="133" w:name="_Toc77670072"/>
      <w:bookmarkStart w:id="134" w:name="_Toc77670281"/>
      <w:bookmarkStart w:id="135" w:name="_Toc77670491"/>
      <w:bookmarkStart w:id="136" w:name="_Toc77675101"/>
      <w:bookmarkStart w:id="137" w:name="_Toc78292212"/>
      <w:bookmarkStart w:id="138" w:name="_Toc78292440"/>
      <w:bookmarkStart w:id="139" w:name="_Toc78292605"/>
      <w:bookmarkStart w:id="140" w:name="_Toc78292831"/>
      <w:bookmarkStart w:id="141" w:name="_Toc78293401"/>
      <w:bookmarkStart w:id="142" w:name="_Toc78293623"/>
      <w:bookmarkStart w:id="143" w:name="_Toc78296118"/>
      <w:bookmarkStart w:id="144" w:name="_Toc78296344"/>
      <w:bookmarkStart w:id="145" w:name="_Toc78375529"/>
      <w:bookmarkStart w:id="146" w:name="_Toc78377509"/>
      <w:bookmarkStart w:id="147" w:name="_Toc78379130"/>
      <w:bookmarkStart w:id="148" w:name="_Toc78379349"/>
      <w:bookmarkStart w:id="149" w:name="_Toc78380718"/>
      <w:bookmarkStart w:id="150" w:name="_Toc78383265"/>
      <w:bookmarkStart w:id="151" w:name="_Toc78383954"/>
      <w:bookmarkStart w:id="152" w:name="_Toc78384774"/>
      <w:bookmarkStart w:id="153" w:name="_Toc78385001"/>
      <w:bookmarkStart w:id="154" w:name="_Toc78389495"/>
      <w:bookmarkStart w:id="155" w:name="_Toc78389861"/>
      <w:bookmarkStart w:id="156" w:name="_Toc78446330"/>
      <w:bookmarkStart w:id="157" w:name="_Toc78450426"/>
      <w:bookmarkStart w:id="158" w:name="_Toc78465470"/>
      <w:bookmarkStart w:id="159" w:name="_Toc77666379"/>
      <w:bookmarkStart w:id="160" w:name="_Toc77666589"/>
      <w:bookmarkStart w:id="161" w:name="_Toc77666799"/>
      <w:bookmarkStart w:id="162" w:name="_Toc77667010"/>
      <w:bookmarkStart w:id="163" w:name="_Toc77668814"/>
      <w:bookmarkStart w:id="164" w:name="_Toc77669024"/>
      <w:bookmarkStart w:id="165" w:name="_Toc77669234"/>
      <w:bookmarkStart w:id="166" w:name="_Toc77669444"/>
      <w:bookmarkStart w:id="167" w:name="_Toc77669654"/>
      <w:bookmarkStart w:id="168" w:name="_Toc77669863"/>
      <w:bookmarkStart w:id="169" w:name="_Toc77670073"/>
      <w:bookmarkStart w:id="170" w:name="_Toc77670282"/>
      <w:bookmarkStart w:id="171" w:name="_Toc77670492"/>
      <w:bookmarkStart w:id="172" w:name="_Toc77675102"/>
      <w:bookmarkStart w:id="173" w:name="_Toc78292213"/>
      <w:bookmarkStart w:id="174" w:name="_Toc78292441"/>
      <w:bookmarkStart w:id="175" w:name="_Toc78292606"/>
      <w:bookmarkStart w:id="176" w:name="_Toc78292832"/>
      <w:bookmarkStart w:id="177" w:name="_Toc78293402"/>
      <w:bookmarkStart w:id="178" w:name="_Toc78293624"/>
      <w:bookmarkStart w:id="179" w:name="_Toc78296119"/>
      <w:bookmarkStart w:id="180" w:name="_Toc78296345"/>
      <w:bookmarkStart w:id="181" w:name="_Toc78375530"/>
      <w:bookmarkStart w:id="182" w:name="_Toc78377510"/>
      <w:bookmarkStart w:id="183" w:name="_Toc78379131"/>
      <w:bookmarkStart w:id="184" w:name="_Toc78379350"/>
      <w:bookmarkStart w:id="185" w:name="_Toc78380719"/>
      <w:bookmarkStart w:id="186" w:name="_Toc78383266"/>
      <w:bookmarkStart w:id="187" w:name="_Toc78383955"/>
      <w:bookmarkStart w:id="188" w:name="_Toc78384775"/>
      <w:bookmarkStart w:id="189" w:name="_Toc78385002"/>
      <w:bookmarkStart w:id="190" w:name="_Toc78389496"/>
      <w:bookmarkStart w:id="191" w:name="_Toc78389862"/>
      <w:bookmarkStart w:id="192" w:name="_Toc78446331"/>
      <w:bookmarkStart w:id="193" w:name="_Toc78450427"/>
      <w:bookmarkStart w:id="194" w:name="_Toc78465471"/>
      <w:bookmarkStart w:id="195" w:name="_Toc72171340"/>
      <w:bookmarkStart w:id="196" w:name="_Toc72171896"/>
      <w:bookmarkStart w:id="197" w:name="_Toc72172452"/>
      <w:bookmarkStart w:id="198" w:name="_Toc72172657"/>
      <w:bookmarkStart w:id="199" w:name="_Toc72173209"/>
      <w:bookmarkStart w:id="200" w:name="_Toc72173761"/>
      <w:bookmarkStart w:id="201" w:name="_Toc72174313"/>
      <w:bookmarkStart w:id="202" w:name="_Toc72174865"/>
      <w:bookmarkStart w:id="203" w:name="_Toc72175417"/>
      <w:bookmarkStart w:id="204" w:name="_Toc72175969"/>
      <w:bookmarkStart w:id="205" w:name="_Toc72176173"/>
      <w:bookmarkStart w:id="206" w:name="_Toc72176724"/>
      <w:bookmarkStart w:id="207" w:name="_Toc72177275"/>
      <w:bookmarkStart w:id="208" w:name="_Toc72177826"/>
      <w:bookmarkStart w:id="209" w:name="_Toc72178377"/>
      <w:bookmarkStart w:id="210" w:name="_Toc72178928"/>
      <w:bookmarkStart w:id="211" w:name="_Toc72179479"/>
      <w:bookmarkStart w:id="212" w:name="_Toc72180030"/>
      <w:bookmarkStart w:id="213" w:name="_Toc72180583"/>
      <w:bookmarkStart w:id="214" w:name="_Toc72181142"/>
      <w:bookmarkStart w:id="215" w:name="_Toc72181701"/>
      <w:bookmarkStart w:id="216" w:name="_Toc72182260"/>
      <w:bookmarkStart w:id="217" w:name="_Toc72182819"/>
      <w:bookmarkStart w:id="218" w:name="_Toc72183378"/>
      <w:bookmarkStart w:id="219" w:name="_Toc72429718"/>
      <w:bookmarkStart w:id="220" w:name="_Toc72513914"/>
      <w:bookmarkStart w:id="221" w:name="_Toc72514417"/>
      <w:bookmarkStart w:id="222" w:name="_Toc72935193"/>
      <w:bookmarkStart w:id="223" w:name="_Toc72170785"/>
      <w:bookmarkStart w:id="224" w:name="_Toc72171341"/>
      <w:bookmarkStart w:id="225" w:name="_Toc72171897"/>
      <w:bookmarkStart w:id="226" w:name="_Toc72172453"/>
      <w:bookmarkStart w:id="227" w:name="_Toc72172658"/>
      <w:bookmarkStart w:id="228" w:name="_Toc72173210"/>
      <w:bookmarkStart w:id="229" w:name="_Toc72173762"/>
      <w:bookmarkStart w:id="230" w:name="_Toc72174314"/>
      <w:bookmarkStart w:id="231" w:name="_Toc72174866"/>
      <w:bookmarkStart w:id="232" w:name="_Toc72175418"/>
      <w:bookmarkStart w:id="233" w:name="_Toc72175970"/>
      <w:bookmarkStart w:id="234" w:name="_Toc72176174"/>
      <w:bookmarkStart w:id="235" w:name="_Toc72176725"/>
      <w:bookmarkStart w:id="236" w:name="_Toc72177276"/>
      <w:bookmarkStart w:id="237" w:name="_Toc72177827"/>
      <w:bookmarkStart w:id="238" w:name="_Toc72178378"/>
      <w:bookmarkStart w:id="239" w:name="_Toc72178929"/>
      <w:bookmarkStart w:id="240" w:name="_Toc72179480"/>
      <w:bookmarkStart w:id="241" w:name="_Toc72180031"/>
      <w:bookmarkStart w:id="242" w:name="_Toc72180584"/>
      <w:bookmarkStart w:id="243" w:name="_Toc72181143"/>
      <w:bookmarkStart w:id="244" w:name="_Toc72181702"/>
      <w:bookmarkStart w:id="245" w:name="_Toc72182261"/>
      <w:bookmarkStart w:id="246" w:name="_Toc72182820"/>
      <w:bookmarkStart w:id="247" w:name="_Toc72183379"/>
      <w:bookmarkStart w:id="248" w:name="_Toc72429719"/>
      <w:bookmarkStart w:id="249" w:name="_Toc72513915"/>
      <w:bookmarkStart w:id="250" w:name="_Toc72514174"/>
      <w:bookmarkStart w:id="251" w:name="_Toc72514418"/>
      <w:bookmarkStart w:id="252" w:name="_Toc72934975"/>
      <w:bookmarkStart w:id="253" w:name="_Toc72935194"/>
      <w:bookmarkStart w:id="254" w:name="_Toc77161860"/>
      <w:bookmarkStart w:id="255" w:name="_Toc77666381"/>
      <w:bookmarkStart w:id="256" w:name="_Toc77666591"/>
      <w:bookmarkStart w:id="257" w:name="_Toc77666801"/>
      <w:bookmarkStart w:id="258" w:name="_Toc77667012"/>
      <w:bookmarkStart w:id="259" w:name="_Toc77668816"/>
      <w:bookmarkStart w:id="260" w:name="_Toc77669026"/>
      <w:bookmarkStart w:id="261" w:name="_Toc77669236"/>
      <w:bookmarkStart w:id="262" w:name="_Toc77669446"/>
      <w:bookmarkStart w:id="263" w:name="_Toc77669656"/>
      <w:bookmarkStart w:id="264" w:name="_Toc77669865"/>
      <w:bookmarkStart w:id="265" w:name="_Toc77670075"/>
      <w:bookmarkStart w:id="266" w:name="_Toc77670284"/>
      <w:bookmarkStart w:id="267" w:name="_Toc77670494"/>
      <w:bookmarkStart w:id="268" w:name="_Toc77675104"/>
      <w:bookmarkStart w:id="269" w:name="_Toc78292215"/>
      <w:bookmarkStart w:id="270" w:name="_Toc78292443"/>
      <w:bookmarkStart w:id="271" w:name="_Toc78292608"/>
      <w:bookmarkStart w:id="272" w:name="_Toc78292834"/>
      <w:bookmarkStart w:id="273" w:name="_Toc78293404"/>
      <w:bookmarkStart w:id="274" w:name="_Toc78293626"/>
      <w:bookmarkStart w:id="275" w:name="_Toc78296121"/>
      <w:bookmarkStart w:id="276" w:name="_Toc78296347"/>
      <w:bookmarkStart w:id="277" w:name="_Toc78375532"/>
      <w:bookmarkStart w:id="278" w:name="_Toc78377512"/>
      <w:bookmarkStart w:id="279" w:name="_Toc78379352"/>
      <w:bookmarkStart w:id="280" w:name="_Toc78380721"/>
      <w:bookmarkStart w:id="281" w:name="_Toc78383268"/>
      <w:bookmarkStart w:id="282" w:name="_Toc78383957"/>
      <w:bookmarkStart w:id="283" w:name="_Toc78384777"/>
      <w:bookmarkStart w:id="284" w:name="_Toc78385004"/>
      <w:bookmarkStart w:id="285" w:name="_Toc78389498"/>
      <w:bookmarkStart w:id="286" w:name="_Toc78389864"/>
      <w:bookmarkStart w:id="287" w:name="_Toc78446333"/>
      <w:bookmarkStart w:id="288" w:name="_Toc78450429"/>
      <w:bookmarkStart w:id="289" w:name="_Toc78465473"/>
      <w:bookmarkStart w:id="290" w:name="_Toc77161861"/>
      <w:bookmarkStart w:id="291" w:name="_Toc77666382"/>
      <w:bookmarkStart w:id="292" w:name="_Toc77666592"/>
      <w:bookmarkStart w:id="293" w:name="_Toc77666802"/>
      <w:bookmarkStart w:id="294" w:name="_Toc77667013"/>
      <w:bookmarkStart w:id="295" w:name="_Toc77668817"/>
      <w:bookmarkStart w:id="296" w:name="_Toc77669027"/>
      <w:bookmarkStart w:id="297" w:name="_Toc77669237"/>
      <w:bookmarkStart w:id="298" w:name="_Toc77669447"/>
      <w:bookmarkStart w:id="299" w:name="_Toc77669657"/>
      <w:bookmarkStart w:id="300" w:name="_Toc77669866"/>
      <w:bookmarkStart w:id="301" w:name="_Toc77670076"/>
      <w:bookmarkStart w:id="302" w:name="_Toc77670285"/>
      <w:bookmarkStart w:id="303" w:name="_Toc77670495"/>
      <w:bookmarkStart w:id="304" w:name="_Toc77675105"/>
      <w:bookmarkStart w:id="305" w:name="_Toc78292216"/>
      <w:bookmarkStart w:id="306" w:name="_Toc78292444"/>
      <w:bookmarkStart w:id="307" w:name="_Toc78292609"/>
      <w:bookmarkStart w:id="308" w:name="_Toc78292835"/>
      <w:bookmarkStart w:id="309" w:name="_Toc78293405"/>
      <w:bookmarkStart w:id="310" w:name="_Toc78293627"/>
      <w:bookmarkStart w:id="311" w:name="_Toc78296122"/>
      <w:bookmarkStart w:id="312" w:name="_Toc78296348"/>
      <w:bookmarkStart w:id="313" w:name="_Toc78375533"/>
      <w:bookmarkStart w:id="314" w:name="_Toc78377513"/>
      <w:bookmarkStart w:id="315" w:name="_Toc78379353"/>
      <w:bookmarkStart w:id="316" w:name="_Toc78380722"/>
      <w:bookmarkStart w:id="317" w:name="_Toc78383269"/>
      <w:bookmarkStart w:id="318" w:name="_Toc78383958"/>
      <w:bookmarkStart w:id="319" w:name="_Toc78384778"/>
      <w:bookmarkStart w:id="320" w:name="_Toc78385005"/>
      <w:bookmarkStart w:id="321" w:name="_Toc78389499"/>
      <w:bookmarkStart w:id="322" w:name="_Toc78389865"/>
      <w:bookmarkStart w:id="323" w:name="_Toc78446334"/>
      <w:bookmarkStart w:id="324" w:name="_Toc78450430"/>
      <w:bookmarkStart w:id="325" w:name="_Toc78465474"/>
      <w:bookmarkStart w:id="326" w:name="_Toc77161862"/>
      <w:bookmarkStart w:id="327" w:name="_Toc77666383"/>
      <w:bookmarkStart w:id="328" w:name="_Toc77666593"/>
      <w:bookmarkStart w:id="329" w:name="_Toc77666803"/>
      <w:bookmarkStart w:id="330" w:name="_Toc77667014"/>
      <w:bookmarkStart w:id="331" w:name="_Toc77668818"/>
      <w:bookmarkStart w:id="332" w:name="_Toc77669028"/>
      <w:bookmarkStart w:id="333" w:name="_Toc77669238"/>
      <w:bookmarkStart w:id="334" w:name="_Toc77669448"/>
      <w:bookmarkStart w:id="335" w:name="_Toc77669658"/>
      <w:bookmarkStart w:id="336" w:name="_Toc77669867"/>
      <w:bookmarkStart w:id="337" w:name="_Toc77670077"/>
      <w:bookmarkStart w:id="338" w:name="_Toc77670286"/>
      <w:bookmarkStart w:id="339" w:name="_Toc77670496"/>
      <w:bookmarkStart w:id="340" w:name="_Toc77675106"/>
      <w:bookmarkStart w:id="341" w:name="_Toc78292217"/>
      <w:bookmarkStart w:id="342" w:name="_Toc78292445"/>
      <w:bookmarkStart w:id="343" w:name="_Toc78292610"/>
      <w:bookmarkStart w:id="344" w:name="_Toc78292836"/>
      <w:bookmarkStart w:id="345" w:name="_Toc78293406"/>
      <w:bookmarkStart w:id="346" w:name="_Toc78293628"/>
      <w:bookmarkStart w:id="347" w:name="_Toc78296123"/>
      <w:bookmarkStart w:id="348" w:name="_Toc78296349"/>
      <w:bookmarkStart w:id="349" w:name="_Toc78375534"/>
      <w:bookmarkStart w:id="350" w:name="_Toc78377514"/>
      <w:bookmarkStart w:id="351" w:name="_Toc78379354"/>
      <w:bookmarkStart w:id="352" w:name="_Toc78380723"/>
      <w:bookmarkStart w:id="353" w:name="_Toc78383270"/>
      <w:bookmarkStart w:id="354" w:name="_Toc78383959"/>
      <w:bookmarkStart w:id="355" w:name="_Toc78384779"/>
      <w:bookmarkStart w:id="356" w:name="_Toc78385006"/>
      <w:bookmarkStart w:id="357" w:name="_Toc78389500"/>
      <w:bookmarkStart w:id="358" w:name="_Toc78389866"/>
      <w:bookmarkStart w:id="359" w:name="_Toc78446335"/>
      <w:bookmarkStart w:id="360" w:name="_Toc78450431"/>
      <w:bookmarkStart w:id="361" w:name="_Toc7846547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071135">
        <w:rPr>
          <w:rFonts w:ascii="Trebuchet MS" w:eastAsia="Times New Roman" w:hAnsi="Trebuchet MS" w:cs="Times New Roman"/>
          <w:b/>
          <w:iCs/>
          <w:lang w:val="ro-RO" w:eastAsia="en-GB"/>
        </w:rPr>
        <w:t>Lista standardelor GAEC și SMR relevante</w:t>
      </w:r>
    </w:p>
    <w:p w:rsidR="00CC3945" w:rsidRPr="00071135" w:rsidRDefault="00CC3945"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rsidR="00C90A3A" w:rsidRPr="00071135" w:rsidRDefault="00C90A3A"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071135">
        <w:rPr>
          <w:rFonts w:ascii="Trebuchet MS" w:eastAsia="Times New Roman" w:hAnsi="Trebuchet MS" w:cs="Times New Roman"/>
          <w:iCs/>
          <w:lang w:val="ro-RO" w:eastAsia="en-GB"/>
        </w:rPr>
        <w:t>SMR10 – fermierii trebuie să respecte standardele minime pentru protecţia porcilor</w:t>
      </w:r>
      <w:r w:rsidRPr="00071135">
        <w:rPr>
          <w:rFonts w:ascii="Trebuchet MS" w:hAnsi="Trebuchet MS"/>
          <w:bCs/>
          <w:noProof w:val="0"/>
          <w:lang w:val="ro-RO"/>
        </w:rPr>
        <w:t xml:space="preserve"> </w:t>
      </w:r>
      <w:r w:rsidRPr="00071135">
        <w:rPr>
          <w:rFonts w:ascii="Trebuchet MS" w:eastAsia="Times New Roman" w:hAnsi="Trebuchet MS" w:cs="Times New Roman"/>
          <w:bCs/>
          <w:iCs/>
          <w:lang w:val="ro-RO" w:eastAsia="en-GB"/>
        </w:rPr>
        <w:t>destinaţi creşterii şi îngrăşării conform reglementărilor în domeniu, respectiv Directiva 2008/120/CE a Consiliului din 18 decembrie 2008 de stabilire a normelor minime de protecție a porcilor</w:t>
      </w:r>
    </w:p>
    <w:p w:rsidR="00C90A3A" w:rsidRPr="00071135" w:rsidRDefault="00C90A3A"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SMR 11 –fermierii trebuie să respecte standardele minime  pentru protecția animalelor de fermă  conform reglementărilor în domeniu, respectiv Directiva 98/58/CE a Consiliului din 20 iulie 1998 privind protecția animalelor de fermă</w:t>
      </w:r>
    </w:p>
    <w:p w:rsidR="00F37E3D" w:rsidRPr="00071135" w:rsidRDefault="00F37E3D"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rsidR="003904BC" w:rsidRPr="00071135" w:rsidRDefault="003904BC"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71135">
        <w:rPr>
          <w:rFonts w:ascii="Trebuchet MS" w:eastAsia="Times New Roman" w:hAnsi="Trebuchet MS" w:cs="Times New Roman"/>
          <w:b/>
          <w:iCs/>
          <w:lang w:val="ro-RO" w:eastAsia="en-GB"/>
        </w:rPr>
        <w:t xml:space="preserve">Lista standardelor naționale obligatorii relevante  </w:t>
      </w:r>
    </w:p>
    <w:p w:rsidR="00F37E3D" w:rsidRPr="00071135" w:rsidRDefault="00F37E3D"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Vor fi implementate angajamente care vizează:</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lastRenderedPageBreak/>
        <w:t xml:space="preserve">Pachetul a) Plăţi în favoarea bunăstării porcinelor (plățile se acordă pentru porci grași și animale de reproducție – femele (scrofițe și scroafe):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1a - creşterea cu cel puţin 10% a spaţiului alocat disponibil fiecărui animal,</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2a - creşterea cu cel puţin 15% a spaţiului alocat disponibil fiecărui animal,</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3a - reducerea pulberilor cu 30% față de nivelul minim obligatoriu prin menținerea în limite optime a parametrilor de microclimat,</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4a - îmbunătățirea condițiilor zonei de odihnă.</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 xml:space="preserve">Pachetul b) Plăţi în favoarea bunăstării păsărilor (plățile se acordă pentru pui de carne, găini ouătoare, găini de reproducție din rase grele și pui de curcă):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1b - reducerea densităţii păsărilor cu 10 % faţă de densitatea rezultată din aplicarea cerinţelor minime obligatorii privind suprafaţa minimă alocată pentru fiecare categorie de păsări,</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2b - reducerea densităţii păsărilor cu 15 % faţă de densitatea rezultată din aplicarea cerinţelor minime obligatorii privind suprafaţa minimă alocată pentru fiecare categorie de păsări,</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Subpachet 3b - reducerea noxelor cu 30 % față de nivelul minim obligatoriu prin menținerea în limite optime a parametrilor de microclimat</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r w:rsidRPr="00071135">
        <w:rPr>
          <w:rFonts w:ascii="Trebuchet MS" w:eastAsia="Times New Roman" w:hAnsi="Trebuchet MS" w:cs="Times New Roman"/>
          <w:b/>
          <w:bCs/>
          <w:iCs/>
          <w:lang w:val="ro-RO" w:eastAsia="en-GB"/>
        </w:rPr>
        <w:t>Cerinţe specifice şi acţiuni în cadrul angajamentelor propuse pachet A</w:t>
      </w:r>
      <w:r w:rsidR="00B232AE" w:rsidRPr="00071135">
        <w:rPr>
          <w:rFonts w:ascii="Trebuchet MS" w:eastAsia="Times New Roman" w:hAnsi="Trebuchet MS" w:cs="Times New Roman"/>
          <w:b/>
          <w:bCs/>
          <w:iCs/>
          <w:lang w:val="ro-RO" w:eastAsia="en-GB"/>
        </w:rPr>
        <w:t xml:space="preserve"> </w:t>
      </w:r>
      <w:r w:rsidRPr="00071135">
        <w:rPr>
          <w:rFonts w:ascii="Trebuchet MS" w:eastAsia="Times New Roman" w:hAnsi="Trebuchet MS" w:cs="Times New Roman"/>
          <w:b/>
          <w:bCs/>
          <w:iCs/>
          <w:lang w:val="ro-RO" w:eastAsia="en-GB"/>
        </w:rPr>
        <w:t>(suine):</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Cele 4 intervenții suplimentare de bunăstare disponibile vor fi aplicate printr-o combinaţie de minim două subpachete.</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r w:rsidRPr="00071135">
        <w:rPr>
          <w:rFonts w:ascii="Trebuchet MS" w:eastAsia="Times New Roman" w:hAnsi="Trebuchet MS" w:cs="Times New Roman"/>
          <w:b/>
          <w:bCs/>
          <w:iCs/>
          <w:lang w:val="ro-RO" w:eastAsia="en-GB"/>
        </w:rPr>
        <w:t>Subpachet 1a) - creşterea cu cel puţin 10% a spaţiului alocat disponibil fiecărui animal</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Scăderea densității la porcii grași şi animale de reproducţie - femele (scrofițe și scroafe) prin extragerea (eliminarea) unui număr suficient de animale din boxe astfel încât spaţiul alocat disponibil fiecărui animal rămas să crească cu cel puţin 10%, față de densitatea rezultată din aplicarea cerințelor minime obligatorii, iar suprafața de pardoseală alocată pentru fiecare categorie de porci să fie:</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 xml:space="preserve">Porc gras: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0,605 mp – pentru porci cu o greutate vie între 50-85 kg,</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0,715 mp – pentru porci cu o greutate vie între 85-110 kg,</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1,1 mp – pentru porci cu o greutate vie peste 110 kg.</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 xml:space="preserve">Animale de reproducţie - femele: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1,804 mp – pentru scrofiţe ţinute în grup,</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2,475 mp/cap – pentru scroafe ţinute în grup.</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Alte cerinţe</w:t>
      </w:r>
      <w:r w:rsidRPr="00071135">
        <w:rPr>
          <w:rFonts w:ascii="Trebuchet MS" w:eastAsia="Times New Roman" w:hAnsi="Trebuchet MS" w:cs="Times New Roman"/>
          <w:bCs/>
          <w:iCs/>
          <w:lang w:val="ro-RO" w:eastAsia="en-GB"/>
        </w:rPr>
        <w:t xml:space="preserve">: </w:t>
      </w:r>
    </w:p>
    <w:p w:rsidR="00F37E3D"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păstrarea evidenţelor pentru a fi prezentate autorităţii de control, privind numărul maxim de animale distribuite pe suprafaţa respectivă, numărul de animale introduse la fiecare repopulare şi mortalităţile,</w:t>
      </w:r>
    </w:p>
    <w:p w:rsidR="00F37E3D"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menținerea parametrilor de ventilație corespunzători populării halei la nivelul cerinței minime de bunăstare privind densitatea.</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r w:rsidRPr="00071135">
        <w:rPr>
          <w:rFonts w:ascii="Trebuchet MS" w:eastAsia="Times New Roman" w:hAnsi="Trebuchet MS" w:cs="Times New Roman"/>
          <w:b/>
          <w:bCs/>
          <w:iCs/>
          <w:lang w:val="ro-RO" w:eastAsia="en-GB"/>
        </w:rPr>
        <w:t>Subpachet 2a) - creşterea cu cel puţin 15% a spaţiului alocat disponibil fiecărui animal</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Angajamentul</w:t>
      </w:r>
      <w:r w:rsidRPr="00071135">
        <w:rPr>
          <w:rFonts w:ascii="Trebuchet MS" w:eastAsia="Times New Roman" w:hAnsi="Trebuchet MS" w:cs="Times New Roman"/>
          <w:bCs/>
          <w:iCs/>
          <w:lang w:val="ro-RO" w:eastAsia="en-GB"/>
        </w:rPr>
        <w:t xml:space="preserve"> constă în scăderea densității la porcii grași şi animale de reproducţie - femele (scrofițe și scroafe) prin extragerea (eliminarea) unui număr suficient de animale din boxe astfel încât spaţiul alocat disponibil fiecărui animal rămas să crească cu cel puţin 15%, față de densitatea rezultată din aplicarea cerințelor minime obligatorii, iar suprafața de pardoseală alocată pentru fiecare categorie de porci să fie:</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 xml:space="preserve">Porc gras: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0,6325 mp – pentru porci cu o greutate vie între 50-85 kg,</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0,7475 mp – pentru porci cu o greutate vie între 85-110 kg,</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1,15 mp – pentru porci cu o greutate vie peste 110 kg.</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 xml:space="preserve">Animale de reproducţie - femele: </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1,886 mp – pentru scrofiţe ţinute în grup,</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2,5875 mp – pentru scroafe ţinute în grup.</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Alte cerinţe</w:t>
      </w:r>
      <w:r w:rsidRPr="00071135">
        <w:rPr>
          <w:rFonts w:ascii="Trebuchet MS" w:eastAsia="Times New Roman" w:hAnsi="Trebuchet MS" w:cs="Times New Roman"/>
          <w:bCs/>
          <w:iCs/>
          <w:lang w:val="ro-RO" w:eastAsia="en-GB"/>
        </w:rPr>
        <w:t xml:space="preserve">: </w:t>
      </w:r>
    </w:p>
    <w:p w:rsidR="00F37E3D"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păstrarea evidenţelor pentru a fi prezentate autorităţii de control, privind numărul maxim de animale distribuite pe suprafaţa respectivă, numărul de animale introduse la fiecare repopulare şi mortalităţile,</w:t>
      </w:r>
    </w:p>
    <w:p w:rsidR="00F37E3D"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menținerea parametrilor de ventilație corespunzători populării halei la nivelul cerinței minime de bunăstare privind densitatea.</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r w:rsidRPr="00071135">
        <w:rPr>
          <w:rFonts w:ascii="Trebuchet MS" w:eastAsia="Times New Roman" w:hAnsi="Trebuchet MS" w:cs="Times New Roman"/>
          <w:b/>
          <w:bCs/>
          <w:iCs/>
          <w:lang w:val="ro-RO" w:eastAsia="en-GB"/>
        </w:rPr>
        <w:t>Subpachet 3a) - reducerea pulberilor cu 30% față de nivelul minim obligatoriu prin menținerea în limite optime a parametrilor de microclimat</w:t>
      </w: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Angajamentu</w:t>
      </w:r>
      <w:r w:rsidRPr="00071135">
        <w:rPr>
          <w:rFonts w:ascii="Trebuchet MS" w:eastAsia="Times New Roman" w:hAnsi="Trebuchet MS" w:cs="Times New Roman"/>
          <w:bCs/>
          <w:iCs/>
          <w:lang w:val="ro-RO" w:eastAsia="en-GB"/>
        </w:rPr>
        <w:t>l constă în:</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monitorizarea zilnică cu echipamente specializate de măsurare şi control a calităţii aerului (a pulberilor) de către beneficiar şi un buletin de analiză pe an în urma monitorizării de către entităţi independente, pentru ca pulberile să nu depășească maximum 10,5 mg/mc în adăpost,</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AE7044"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Alte cerinţe:</w:t>
      </w:r>
    </w:p>
    <w:p w:rsidR="00F37E3D" w:rsidRPr="00071135" w:rsidRDefault="00AE7044"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beneficiarii au obligația de a ţine evidenţa tuturor măsurătorilor efectuate prin înregistrarea zilnică a acestora într-un registru şi de a păstra dovezile care să demonstreze că au fost atinse condiţiile superioare de bunăstare.</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eastAsia="en-GB"/>
        </w:rPr>
      </w:pPr>
      <w:r w:rsidRPr="00071135">
        <w:rPr>
          <w:rFonts w:ascii="Trebuchet MS" w:eastAsia="Times New Roman" w:hAnsi="Trebuchet MS" w:cs="Times New Roman"/>
          <w:b/>
          <w:bCs/>
          <w:iCs/>
          <w:lang w:val="ro-RO" w:eastAsia="en-GB"/>
        </w:rPr>
        <w:t>Subpachet 4a) - îmbunătățirea condițiilor zonei de odihnă</w:t>
      </w:r>
    </w:p>
    <w:p w:rsidR="00B232AE" w:rsidRPr="00071135" w:rsidRDefault="00B232AE"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rsidR="00615C4F"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
          <w:bCs/>
          <w:iCs/>
          <w:lang w:val="ro-RO" w:eastAsia="en-GB"/>
        </w:rPr>
        <w:t>Angajamentul</w:t>
      </w:r>
      <w:r w:rsidRPr="00071135">
        <w:rPr>
          <w:rFonts w:ascii="Trebuchet MS" w:eastAsia="Times New Roman" w:hAnsi="Trebuchet MS" w:cs="Times New Roman"/>
          <w:bCs/>
          <w:iCs/>
          <w:lang w:val="ro-RO" w:eastAsia="en-GB"/>
        </w:rPr>
        <w:t xml:space="preserve"> constă în:</w:t>
      </w:r>
    </w:p>
    <w:p w:rsidR="00615C4F" w:rsidRPr="00071135" w:rsidRDefault="00615C4F"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 xml:space="preserve">menținerea zonei de odihnă în permanență uscată astfel încât să asigure confortul animalelor prin aplicări suplimentare de materiale absorbante corespunzătoare pentru așternut (materiale higroscopice) în zona de odihnă </w:t>
      </w:r>
    </w:p>
    <w:p w:rsidR="00F37E3D" w:rsidRPr="00071135" w:rsidRDefault="00615C4F"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w:t>
      </w:r>
      <w:r w:rsidR="00F37E3D" w:rsidRPr="00071135">
        <w:rPr>
          <w:rFonts w:ascii="Trebuchet MS" w:eastAsia="Times New Roman" w:hAnsi="Trebuchet MS" w:cs="Times New Roman"/>
          <w:bCs/>
          <w:iCs/>
          <w:lang w:val="ro-RO" w:eastAsia="en-GB"/>
        </w:rPr>
        <w:t>în primele şapte zile de la populare materialele se aplică zilnic, iar apoi de două ori /săptămână. Aceste aplicări de material higroscopic se vor efectua pe toată suprafata boxei.</w:t>
      </w:r>
    </w:p>
    <w:p w:rsidR="00F37E3D" w:rsidRPr="00071135" w:rsidRDefault="00F37E3D" w:rsidP="00F37E3D">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71135">
        <w:rPr>
          <w:rFonts w:ascii="Trebuchet MS" w:eastAsia="Times New Roman" w:hAnsi="Trebuchet MS" w:cs="Times New Roman"/>
          <w:bCs/>
          <w:iCs/>
          <w:lang w:val="ro-RO" w:eastAsia="en-GB"/>
        </w:rPr>
        <w:t>beneficiarii au obligaţia de a ţine registre cu privire la data, cantitatea şi locul în care au fost utilizate materialele absorbante.</w:t>
      </w:r>
    </w:p>
    <w:p w:rsidR="00F37E3D" w:rsidRPr="00071135" w:rsidRDefault="00F37E3D"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rsidR="00CC3945" w:rsidRPr="00071135" w:rsidRDefault="00CC3945"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71135">
        <w:rPr>
          <w:rFonts w:ascii="Trebuchet MS" w:eastAsia="Times New Roman" w:hAnsi="Trebuchet MS" w:cs="Times New Roman"/>
          <w:b/>
          <w:iCs/>
          <w:lang w:val="ro-RO" w:eastAsia="en-GB"/>
        </w:rPr>
        <w:t xml:space="preserve">Legătura intervenției cu standardele GAEC, SMR și standardele naționale </w:t>
      </w:r>
    </w:p>
    <w:p w:rsidR="003904BC" w:rsidRPr="00071135" w:rsidRDefault="003904BC"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rsidR="00E10D37" w:rsidRPr="00071135" w:rsidRDefault="00E10D37" w:rsidP="00E10D37">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rPr>
      </w:pPr>
      <w:r w:rsidRPr="00071135">
        <w:rPr>
          <w:rFonts w:ascii="Trebuchet MS" w:eastAsia="Times New Roman" w:hAnsi="Trebuchet MS" w:cs="Times New Roman"/>
          <w:b/>
          <w:bCs/>
        </w:rPr>
        <w:t>Comparaţie între baseline şi standardele superioare de bunăstare a animalelor care fac obiectul angajamentelor Intervenției Bunăstarea animalelor- Pachetul a) Plăţi în favoarea bunăstării porcilor</w:t>
      </w:r>
    </w:p>
    <w:p w:rsidR="00F37E3D" w:rsidRPr="00071135" w:rsidRDefault="00F37E3D"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1a) – creşterea cu cel puţin 10% a spaţiului alocat disponibil fiecărui animal</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de pardoseală disponibilă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50-85 kg - 0,55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85-110 kg - 0,65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peste 110 kg - 1 mp</w:t>
      </w:r>
    </w:p>
    <w:p w:rsidR="00615C4F"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scrofiţe şi scroafe ţinute în grup - 1,64 mp, respectiv 2,25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Suprafața de pardoseală disponibilă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50-85 kg – 0,605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85-110 kg – 0,715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peste 110 kg – 1,1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scrofiţe şi scroafe ţinute în grup – 1,804 mp, respectiv 2,475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202/2006 care transpune Directiva UE 2008/120/EC</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2a) - creşterea cu cel puţin 15% a spaţiului alocat disponibil fiecărui animal</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lastRenderedPageBreak/>
        <w:t>Suprafaţă de pardoseală disponibilă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50-85 kg - 0,55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85-110 kg - 0,65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peste 110 kg - 1 mp</w:t>
      </w:r>
    </w:p>
    <w:p w:rsidR="00AE7044"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scrofiţe şi scroafe ţinute în grup - 1,64 mp, respectiv 2,25 mp</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Suprafața de pardoseală disponibilă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50-85 kg - 0,6325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între 85-110 kg - 0,7475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porci cu o greutate vie peste 110 kg - 1,15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scrofiţe şi scroafe ţinute în grup - 1,886 m2, respectiv 2,5875 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202/2006 care transpune Directiva UE 2008/120/EC</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3a) - reducerea pulberilor cu 30% față de nivelul minim obligatoriu prin menținerea în limite optime a parametrilor de microclimat</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Nivelul noxelor din adăpost baseline:</w:t>
      </w:r>
    </w:p>
    <w:p w:rsidR="00AE7044"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max. 15 mg/mc pulberi</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Nivelul noxelor din adăpost</w:t>
      </w:r>
      <w:r w:rsidR="00626A8A" w:rsidRPr="00071135">
        <w:rPr>
          <w:rFonts w:ascii="Trebuchet MS" w:eastAsia="Times New Roman" w:hAnsi="Trebuchet MS" w:cs="Times New Roman"/>
          <w:bCs/>
          <w:lang w:val="ro-RO"/>
        </w:rPr>
        <w:t xml:space="preserve"> </w:t>
      </w:r>
      <w:r w:rsidRPr="00071135">
        <w:rPr>
          <w:rFonts w:ascii="Trebuchet MS" w:eastAsia="Times New Roman" w:hAnsi="Trebuchet MS" w:cs="Times New Roman"/>
          <w:bCs/>
          <w:lang w:val="ro-RO"/>
        </w:rPr>
        <w:t>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max. 10,5 mg/mc pulberi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129/2017 pentru aprobarea Normelor metodologice de monitorizare a standardelor de microclimat, în vederea asigurării statusului minim de bunăstare a porcinelor din exploataţiile comerciale</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4a) - îmbunătățirea condițiilor zonei de odihnă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Adăposturile pentru porci trebuie construite astfel încât sa permita animalelor sa aiba acces la o zona de odihna confortabilă din punct de vedere fizic şi termic, drenată şi curăţată corespunzător şi care să permită tuturor animalelor să se odihnească în acelaşi timp.</w:t>
      </w:r>
    </w:p>
    <w:p w:rsidR="00883512"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 xml:space="preserve">Pentru aceasta se utilizează materiale higroscopice prin aplicarea în primele 7 zile de la popularea fiecărui ciclu de producție și într-o cantitate redusă (50g material higroscopic/m2) pentru porcul gras (numărul de administrări este de 7 aplicări x 3,2 cicluri/an = 22,4 aplicări/an) iar în cazul scrofițelor și scroafelor se utilizează minim 50g material absorbant/ m2 aplicat cu o zi înaintea populării și încă 10 zile după ce acestea se întorc în boxa în care sunt cazate în grup(nr de administrări/an = 11 aplicări x 2,3 fătări/an = 25,3 aplicări/ an). </w:t>
      </w:r>
    </w:p>
    <w:p w:rsidR="00883512" w:rsidRPr="00071135" w:rsidRDefault="00883512"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Zona de odihnă în condiții superioare de bunăstare trebuie să fie uscată în permanență prin utilizarea de materiale absorbante corespunzătoare pentru aşternut.</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Pentru aceasta se aplică în primele şapte zile de la populare materialele se aplică zilnic, iar apoi de două ori /săptămână,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 ANSVSA nr. 202/2006 care transpune Directiva UE 2008/120/EC</w:t>
      </w:r>
    </w:p>
    <w:p w:rsidR="00615C4F" w:rsidRPr="00071135" w:rsidRDefault="00615C4F" w:rsidP="00615C4F">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rsidR="00615C4F" w:rsidRPr="00071135" w:rsidRDefault="00615C4F" w:rsidP="00615C4F">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71135">
        <w:rPr>
          <w:rFonts w:ascii="Trebuchet MS" w:eastAsia="Times New Roman" w:hAnsi="Trebuchet MS" w:cs="Times New Roman"/>
          <w:b/>
          <w:iCs/>
          <w:lang w:val="ro-RO" w:eastAsia="en-GB"/>
        </w:rPr>
        <w:t xml:space="preserve">Legătura intervenției cu standardele GAEC, SMR și standardele naționale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Cerinţe specifice şi acţiuni în cadrul angajamentelor propuse la pachet B (păsări):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Cele 3 intervenții suplimentare de bunăstare disponibile vor fi aplicate printr-o combinaţie de două subpachete (1b cu 3b sau 2b cu 3b).</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1b)</w:t>
      </w:r>
      <w:r w:rsidRPr="00071135">
        <w:rPr>
          <w:rFonts w:ascii="Trebuchet MS" w:eastAsia="Times New Roman" w:hAnsi="Trebuchet MS" w:cs="Times New Roman"/>
          <w:bCs/>
          <w:lang w:val="ro-RO"/>
        </w:rPr>
        <w:t xml:space="preserve"> - </w:t>
      </w:r>
      <w:r w:rsidRPr="00071135">
        <w:rPr>
          <w:rFonts w:ascii="Trebuchet MS" w:eastAsia="Times New Roman" w:hAnsi="Trebuchet MS" w:cs="Times New Roman"/>
          <w:b/>
          <w:bCs/>
          <w:lang w:val="ro-RO"/>
        </w:rPr>
        <w:t>reducerea densităţii păsărilor cu 10% faţă de densitatea rezultată din aplicarea cerinţelor minime obligatorii privind suprafaţa minimă alocată pentru fiecare categorie de păsări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Angajamentul constă în:</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scăderea densității la păsări prin extragerea (eliminarea) unui număr suficient de animale, astfel încât spaţiul alocat disponibil fiecărui animal rămas să crească cu cel puţin 10%, față de densitatea rezultată din aplicarea cerințelor minime obligatorii, astfel: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lastRenderedPageBreak/>
        <w:tab/>
        <w:t>pui de carne – 30,00 kg/mp, 35,45 kg/mp sau 38,18 kg/mp (în funcţie de densitatea practicată de crescătorii de păsări în condiţii minime),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găini ouătoare – 1.222 cmp/cap în sistem alternativ sau 825 cmp/cap în sistem cuști îmbunătățite,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găini reproducție rase grele – 22,73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pui de curcă – masculi – 50 kg/mp şi femele – 45,45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alte cerinţe: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documentul care precizează densitatea practicată de crescătorii de păsări la cerinţe minime şi păstrarea evidenţelor pentru a fi prezentate autorităţii de control privind numărul maxim de păsări distribuite pe suprafaţa respectivă, numărul de păsări introduse la fiecare repopulare şi mortalităţile,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menținerea parametrilor de ventilație corespunzători populării halei la nivelul cerinței minime de bunăstare privind densitatea.</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2b)</w:t>
      </w:r>
      <w:r w:rsidRPr="00071135">
        <w:rPr>
          <w:rFonts w:ascii="Trebuchet MS" w:eastAsia="Times New Roman" w:hAnsi="Trebuchet MS" w:cs="Times New Roman"/>
          <w:bCs/>
          <w:lang w:val="ro-RO"/>
        </w:rPr>
        <w:t xml:space="preserve"> - </w:t>
      </w:r>
      <w:r w:rsidRPr="00071135">
        <w:rPr>
          <w:rFonts w:ascii="Trebuchet MS" w:eastAsia="Times New Roman" w:hAnsi="Trebuchet MS" w:cs="Times New Roman"/>
          <w:b/>
          <w:bCs/>
          <w:lang w:val="ro-RO"/>
        </w:rPr>
        <w:t>reducerea densităţii păsărilor cu 15 % faţă de densitatea rezultată din aplicarea cerinţelor minime obligatorii privind suprafaţa minimă alocată pentru fiecare categorie de păsări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
          <w:bCs/>
          <w:lang w:val="ro-RO"/>
        </w:rPr>
        <w:t>Angajamentul constă în</w:t>
      </w:r>
      <w:r w:rsidRPr="00071135">
        <w:rPr>
          <w:rFonts w:ascii="Trebuchet MS" w:eastAsia="Times New Roman" w:hAnsi="Trebuchet MS" w:cs="Times New Roman"/>
          <w:bCs/>
          <w:lang w:val="ro-RO"/>
        </w:rPr>
        <w:t>:</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scăderea densității la păsări prin extragerea (eliminarea) unui număr suficient de animale, astfel încât spaţiul alocat disponibil fiecărui animal rămas să crească cu cel puţin 15%, față de densitatea rezultată din aplicarea cerințelor minime obligatorii, astfel: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pui de carne – 28,69 kg/mp, 33,91 kg/mp sau 36,52 kg/mp (în funcţie de densitatea practicată de crescătorii de păsări în condiţii minime),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găini ouătoare – 1.278 cmp/cap în sistem alternativ, 862 cmp/cap în sistem cuști îmbunătățite,</w:t>
      </w:r>
      <w:r w:rsidRPr="00071135">
        <w:rPr>
          <w:rFonts w:ascii="Trebuchet MS" w:eastAsia="Times New Roman" w:hAnsi="Trebuchet MS" w:cs="Times New Roman"/>
          <w:bCs/>
          <w:lang w:val="ro-RO"/>
        </w:rPr>
        <w:tab/>
        <w:t>găini reproducție rase grele – 21,74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pui de curcă – masculi – 47,83 kg/mp şi femele – 43,48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ate cerinţe: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documentul care precizează densitatea practicată de crescătorii de păsări la cerinţe minime şi păstrarea evidenţelor pentru a fi prezentate autorităţii de control privind numărul maxim de păsări distribuite pe suprafaţa respectivă, numărul de păsări introduse la fiecare repopulare şi mortalităţile,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menținerea parametrilor de ventilație corespunzători populării halei la nivelul cerinței minime de bunăstare privind densitatea.</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3b)</w:t>
      </w:r>
      <w:r w:rsidRPr="00071135">
        <w:rPr>
          <w:rFonts w:ascii="Trebuchet MS" w:eastAsia="Times New Roman" w:hAnsi="Trebuchet MS" w:cs="Times New Roman"/>
          <w:bCs/>
          <w:lang w:val="ro-RO"/>
        </w:rPr>
        <w:t xml:space="preserve"> </w:t>
      </w:r>
      <w:r w:rsidRPr="00071135">
        <w:rPr>
          <w:rFonts w:ascii="Trebuchet MS" w:eastAsia="Times New Roman" w:hAnsi="Trebuchet MS" w:cs="Times New Roman"/>
          <w:b/>
          <w:bCs/>
          <w:lang w:val="ro-RO"/>
        </w:rPr>
        <w:t>- reducerea noxelor cu 30% față de nivelul minim obligatoriu prin menținerea în limite optime a parametrilor de microclimat</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Angajamentul constă în:</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monitorizarea zilnică de către beneficiar a nivelului noxelor pentru ca acestea să nu depășească următoarele valori: </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maximum 14 ppm amoniac (NH3),</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ab/>
        <w:t>maximum 2100 ppm CO2,</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beneficiarii au obligația de a ține evidența tuturor măsurătorilor efectuate prin înregistrarea zilnică a acestora într-un registru și de a păstra dovezile care să demonstreze că au fost atinse condițiile îmbunătățite.</w:t>
      </w:r>
    </w:p>
    <w:p w:rsidR="00AE7044" w:rsidRPr="00071135" w:rsidRDefault="00AE7044"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Comparaţie între baseline şi standardele superioare de bunăstare a animalelor care fac obiectul angajamentelor Intervenției –Bunăstarea animalelor- Pachetul b) Plăţi în favoarea bunăstării păsărilor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1 b) - reducerea densitatii păsărilor cu 10% fata de densitatea rezultata din aplicarea cerintelor minime obligatorii privind suprafata minima alocata pentru fiecare categorie de păsări</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carne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 33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 39 kg/mp</w:t>
      </w:r>
    </w:p>
    <w:p w:rsidR="00883512"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III: 42 kg/mp</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carne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 30,00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 35,45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III: 38,18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ouătoare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lastRenderedPageBreak/>
        <w:t>•</w:t>
      </w:r>
      <w:r w:rsidRPr="00071135">
        <w:rPr>
          <w:rFonts w:ascii="Trebuchet MS" w:eastAsia="Times New Roman" w:hAnsi="Trebuchet MS" w:cs="Times New Roman"/>
          <w:bCs/>
          <w:lang w:val="ro-RO"/>
        </w:rPr>
        <w:tab/>
        <w:t>9 găini ouătoare/mp în sistem alternativ</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750 cmp/cap - sistem cuști îmbunătățite</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ouătoare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1222 cmp/cap în sistem alternativ</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825 cmp/cap în sistem cuști îmbunătățite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reproducție rase grele baseline:</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25 kg/mp</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reproducție rase grele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22,73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curcă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masculi - 55 kg/mp</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femele - 50 kg/mp</w:t>
      </w:r>
      <w:r w:rsidRPr="00071135">
        <w:rPr>
          <w:rFonts w:ascii="Trebuchet MS" w:eastAsia="Times New Roman" w:hAnsi="Trebuchet MS" w:cs="Times New Roman"/>
          <w:bCs/>
          <w:lang w:val="ro-RO"/>
        </w:rPr>
        <w:tab/>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curcă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masculi: 50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femele: 45,45 kg/mp</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 ANSVSA nr. 30/2010 pentru aprobarea Normei sanitare veterinare privind stabilirea normelor minime de protecție a puilor destinați producției de carne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 ANSVSA nr. 136/2006 pentru aprobarea Normei sanitare veterinare privind standardele minime pentru protecția găinilor ouătoare, cu modificările şi completările ulterioare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63 din 10 octombrie 2012 pentru aprobarea Normei sanitare veterinare care stabileşte standardele minime privind protecţia păsărilor în fermă şi în timpul transportului.</w:t>
      </w:r>
    </w:p>
    <w:p w:rsidR="00B232AE" w:rsidRPr="00071135" w:rsidRDefault="00B232AE"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2b) - reducerea densităţii păsărilor cu 15% faţă de densitatea rezultată din aplicarea cerinţelor minime obligatorii privind suprafaţa minimă alocată pentru fiecare categorie de păsări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carne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 33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 39 kg/mp</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III: 42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carne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 – 28,69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 – 33,91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situaţia III – 36,52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ouătoare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9 găini ouătoare/mp în sistem alternativ</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750 cmp/cap - sistem cuști îmbunătățite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ouătoare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1278 cmp/cap în sistem alternativ</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862 cmp/cap în sistem cuști îmbunătățite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reproducție rase grele baseline:</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25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găini reproducție rase grele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21,74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curcă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masculi: 55 kg/mp</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femele: 50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Suprafaţă disponibilă pui de curcă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masculi: 47,83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femele: 43,48 kg/mp</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 ANSVSA nr. 30/2010 pentru aprobarea Normei sanitare veterinare privind stabilirea normelor minime de protecție a puilor destinați producției de carne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 ANSVSA nr. 136/2006 pentru aprobarea Normei sanitare veterinare privind standardele minime pentru protecția găinilor ouătoare, cu modificările şi completările ulterioare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63 din 10 octombrie 2012 pentru aprobarea Normei sanitare veterinare care stabileşte standardele minime privind protecţia păsărilor în fermă şi în timpul transportului.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Subpachet 3b) - reducerea noxelor cu 30% față de nivelul minim obligatoriu prin menținerea in limite optime a parametrilor de microclimat</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Nivelul noxelor din adăpost baseline:</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20 ppm amoniac (NH3)</w:t>
      </w:r>
    </w:p>
    <w:p w:rsidR="00626A8A"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3000 ppm dioxid de carbon (CO2)</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Nivelul noxelor din adăpost Intervenția Bunăstarea animalelor:</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14 ppm amoniac (NH3)</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2100 ppm dioxid de carbon (CO2)</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Baza legală:</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w:t>
      </w:r>
      <w:r w:rsidRPr="00071135">
        <w:rPr>
          <w:rFonts w:ascii="Trebuchet MS" w:eastAsia="Times New Roman" w:hAnsi="Trebuchet MS" w:cs="Times New Roman"/>
          <w:bCs/>
          <w:lang w:val="ro-RO"/>
        </w:rPr>
        <w:tab/>
        <w:t>Ordinul ANSVSA nr. 63 din 10 octombrie 2012 pentru aprobarea Normei sanitare veterinare care stabileşte standardele minime privind protecţia păsărilor în fermă şi în timpul transportului</w:t>
      </w:r>
    </w:p>
    <w:p w:rsidR="008D1046"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E10D37" w:rsidRPr="00071135" w:rsidRDefault="008D1046" w:rsidP="008D1046">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În cadrul tuturor angajamentelor încheiate în cadrul acestei intervenții, beneficiarii vor trebui să respecte standardele de eco-condiţionalitate (SMR și GAEC) aplicabile animalelor şi terenurilor agricole aparţinând fermei şi activităţilor agricole relevante desfăşurate la nivelul fermei. În cazul nerespectării cerinţelor specifice ale angajamentelor, se aplică reduceri ale sprijinului acordat, care pot merge în unele cazuri prevăzute de sistemul de sancţiuni aplicabil Intervenției – Bunăstarea animalelor până la excluderea de la plată.</w:t>
      </w:r>
    </w:p>
    <w:p w:rsidR="00E10D37" w:rsidRPr="00071135" w:rsidRDefault="00E10D37"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7D777B" w:rsidRPr="00071135" w:rsidRDefault="007D777B" w:rsidP="007D777B">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Beneficiarii intervenției trebuie să respecte standardele naționale obligatorii relevante prevăzute în legislația națională, prezentate mai sus, acestea constituind nivelul de bază neremunerat, iar aplicarea angajamentelor de asigurare a condițiilor superioare de bunăstare a animalelor reprezintă nivelul superior pentru care beneficiarii primesc plata compensatorie.</w:t>
      </w:r>
    </w:p>
    <w:p w:rsidR="00E10D37" w:rsidRPr="00071135" w:rsidRDefault="00E10D37" w:rsidP="00C90A3A">
      <w:pPr>
        <w:pBdr>
          <w:top w:val="single" w:sz="4" w:space="0" w:color="auto"/>
          <w:left w:val="single" w:sz="4" w:space="0"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rsidR="003904BC" w:rsidRPr="00071135" w:rsidRDefault="003904BC"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lastRenderedPageBreak/>
        <w:t>7. Forma și rata suportului/sume/metode de calcul</w:t>
      </w:r>
    </w:p>
    <w:tbl>
      <w:tblPr>
        <w:tblStyle w:val="TableGrid"/>
        <w:tblW w:w="5000" w:type="pct"/>
        <w:tblLook w:val="0600" w:firstRow="0" w:lastRow="0" w:firstColumn="0" w:lastColumn="0" w:noHBand="1" w:noVBand="1"/>
      </w:tblPr>
      <w:tblGrid>
        <w:gridCol w:w="9911"/>
      </w:tblGrid>
      <w:tr w:rsidR="00071135" w:rsidRPr="00071135" w:rsidTr="00B232AE">
        <w:tc>
          <w:tcPr>
            <w:tcW w:w="5000" w:type="pct"/>
          </w:tcPr>
          <w:p w:rsidR="003904BC" w:rsidRPr="00071135" w:rsidRDefault="00AD2261" w:rsidP="00F354D9">
            <w:pPr>
              <w:keepNext/>
              <w:spacing w:before="120"/>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lastRenderedPageBreak/>
              <w:t>Tipul de plată</w:t>
            </w:r>
          </w:p>
          <w:p w:rsidR="0025394D" w:rsidRPr="00071135" w:rsidRDefault="0025394D" w:rsidP="00F354D9">
            <w:pPr>
              <w:keepNext/>
              <w:spacing w:before="120"/>
              <w:jc w:val="both"/>
              <w:rPr>
                <w:rFonts w:ascii="Trebuchet MS" w:eastAsia="Times New Roman" w:hAnsi="Trebuchet MS" w:cs="Times New Roman"/>
                <w:lang w:val="ro-RO"/>
              </w:rPr>
            </w:pPr>
            <w:r w:rsidRPr="00071135">
              <w:rPr>
                <w:rFonts w:ascii="Trebuchet MS" w:eastAsia="Times New Roman" w:hAnsi="Trebuchet MS" w:cs="Times New Roman"/>
                <w:lang w:val="ro-RO"/>
              </w:rPr>
              <w:t>Tipul plății este cel al costurilor unitare care acoperă costurile suplimentare și pierderile de venit.</w:t>
            </w:r>
          </w:p>
          <w:p w:rsidR="0025394D" w:rsidRPr="00071135" w:rsidRDefault="0025394D" w:rsidP="00F354D9">
            <w:pPr>
              <w:keepNext/>
              <w:spacing w:before="120"/>
              <w:jc w:val="both"/>
              <w:rPr>
                <w:rFonts w:ascii="Trebuchet MS" w:eastAsia="Times New Roman" w:hAnsi="Trebuchet MS" w:cs="Times New Roman"/>
                <w:lang w:val="ro-RO"/>
              </w:rPr>
            </w:pPr>
            <w:r w:rsidRPr="00071135">
              <w:rPr>
                <w:rFonts w:ascii="Trebuchet MS" w:eastAsia="Times New Roman" w:hAnsi="Trebuchet MS" w:cs="Times New Roman"/>
                <w:lang w:val="ro-RO"/>
              </w:rPr>
              <w:t>Costurile eligibile în cadrul acestei intervenții sunt constituite din costuri standard, calculate pentru fiecare sub-pachet pe baza evaluării costurilor suplimentare şi a pierderilor de venit, care depăşesc nivelul obligatoriu neremunerat al cerinţelor de bază (constituite din standardele minime de bunăstare și a celor de eco-condiţionalitate şi obligaţiile stabilite prin legislaţia comunitară şi naţională relevantă), înregistrate de beneficiari în urma asumării angajamentelor voluntare de bunăstare a porcilor și a asumării angajamentelor voluntare de bunăstare a păsărilor.</w:t>
            </w:r>
          </w:p>
          <w:p w:rsidR="00ED6250" w:rsidRPr="00071135" w:rsidRDefault="00ED6250" w:rsidP="00F354D9">
            <w:pPr>
              <w:keepNext/>
              <w:spacing w:before="120"/>
              <w:jc w:val="both"/>
              <w:rPr>
                <w:rFonts w:ascii="Trebuchet MS" w:eastAsia="Times New Roman" w:hAnsi="Trebuchet MS" w:cs="Times New Roman"/>
                <w:b/>
                <w:bCs/>
                <w:lang w:val="ro-RO"/>
              </w:rPr>
            </w:pPr>
            <w:r w:rsidRPr="00071135">
              <w:rPr>
                <w:rFonts w:ascii="Trebuchet MS" w:eastAsia="Times New Roman" w:hAnsi="Trebuchet MS" w:cs="Times New Roman"/>
                <w:b/>
                <w:bCs/>
                <w:lang w:val="ro-RO"/>
              </w:rPr>
              <w:t>Costuri neeligible:</w:t>
            </w:r>
          </w:p>
          <w:p w:rsidR="00ED6250" w:rsidRPr="00071135" w:rsidRDefault="00ED6250" w:rsidP="00F354D9">
            <w:pPr>
              <w:keepNext/>
              <w:spacing w:before="120"/>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 xml:space="preserve">Costurile standard nu includ costuri tranzacţionale şi investiţionale, acestea nefiind eligibile în cadrul acestei intervenții. </w:t>
            </w:r>
          </w:p>
          <w:p w:rsidR="00ED6250" w:rsidRPr="00071135" w:rsidRDefault="00ED6250" w:rsidP="00F354D9">
            <w:pPr>
              <w:keepNext/>
              <w:spacing w:before="120"/>
              <w:jc w:val="both"/>
              <w:rPr>
                <w:rFonts w:ascii="Trebuchet MS" w:eastAsia="Times New Roman" w:hAnsi="Trebuchet MS" w:cs="Times New Roman"/>
                <w:bCs/>
                <w:lang w:val="ro-RO"/>
              </w:rPr>
            </w:pPr>
            <w:r w:rsidRPr="00071135">
              <w:rPr>
                <w:rFonts w:ascii="Trebuchet MS" w:eastAsia="Times New Roman" w:hAnsi="Trebuchet MS" w:cs="Times New Roman"/>
                <w:bCs/>
                <w:lang w:val="ro-RO"/>
              </w:rPr>
              <w:t>Cheltuielile cu medicamentele, vaccinările și alte practici care conduc la creșterea beneficiului economic pentru fermierul aflat sub angajament privind bunăstarea animalelor nu sunt eligibile.</w:t>
            </w:r>
          </w:p>
          <w:p w:rsidR="003904BC" w:rsidRPr="00071135" w:rsidRDefault="003904BC" w:rsidP="00F354D9">
            <w:pPr>
              <w:keepNext/>
              <w:spacing w:before="120"/>
              <w:jc w:val="both"/>
              <w:rPr>
                <w:rFonts w:ascii="Trebuchet MS" w:eastAsia="Times New Roman" w:hAnsi="Trebuchet MS" w:cs="Times New Roman"/>
                <w:lang w:val="ro-RO" w:eastAsia="en-GB"/>
              </w:rPr>
            </w:pPr>
          </w:p>
          <w:p w:rsidR="0025394D" w:rsidRPr="00071135" w:rsidRDefault="004841A5" w:rsidP="00F354D9">
            <w:pPr>
              <w:keepNext/>
              <w:spacing w:before="120"/>
              <w:jc w:val="both"/>
              <w:rPr>
                <w:rFonts w:ascii="Trebuchet MS" w:eastAsia="Times New Roman" w:hAnsi="Trebuchet MS" w:cs="Times New Roman"/>
                <w:lang w:val="ro-RO" w:eastAsia="en-GB"/>
              </w:rPr>
            </w:pPr>
            <w:r w:rsidRPr="00071135">
              <w:rPr>
                <w:rFonts w:ascii="Trebuchet MS" w:eastAsia="Times New Roman" w:hAnsi="Trebuchet MS" w:cs="Times New Roman"/>
                <w:b/>
                <w:bCs/>
                <w:lang w:val="ro-RO" w:eastAsia="en-GB"/>
              </w:rPr>
              <w:t>Intervalul ratelor de sprijin la nivel de beneficiar</w:t>
            </w:r>
          </w:p>
          <w:p w:rsidR="00ED6250" w:rsidRPr="00071135" w:rsidRDefault="00ED6250" w:rsidP="00F354D9">
            <w:pPr>
              <w:keepNext/>
              <w:spacing w:before="120"/>
              <w:jc w:val="both"/>
              <w:rPr>
                <w:rFonts w:ascii="Trebuchet MS" w:eastAsia="Times New Roman" w:hAnsi="Trebuchet MS" w:cs="Times New Roman"/>
                <w:lang w:val="ro-RO" w:eastAsia="en-GB"/>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Plata compensatorie reprezintă 100% sprijin public nerambursabil.</w:t>
            </w:r>
          </w:p>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Plăţile compensatorii propuse se acordă pe UVM pentru fiecare subpachet și categorie de animale</w:t>
            </w:r>
            <w:r w:rsidR="006502BF" w:rsidRPr="00071135">
              <w:rPr>
                <w:rFonts w:ascii="Trebuchet MS" w:hAnsi="Trebuchet MS"/>
                <w:bCs/>
                <w:lang w:val="ro-RO"/>
              </w:rPr>
              <w:t xml:space="preserve"> pe </w:t>
            </w:r>
            <w:r w:rsidRPr="00071135">
              <w:rPr>
                <w:rFonts w:ascii="Trebuchet MS" w:hAnsi="Trebuchet MS"/>
                <w:bCs/>
                <w:lang w:val="ro-RO"/>
              </w:rPr>
              <w:t>ciclu</w:t>
            </w:r>
            <w:r w:rsidR="006502BF" w:rsidRPr="00071135">
              <w:rPr>
                <w:rFonts w:ascii="Trebuchet MS" w:hAnsi="Trebuchet MS"/>
                <w:bCs/>
                <w:lang w:val="ro-RO"/>
              </w:rPr>
              <w:t xml:space="preserve"> de producție</w:t>
            </w:r>
            <w:r w:rsidRPr="00071135">
              <w:rPr>
                <w:rFonts w:ascii="Trebuchet MS" w:hAnsi="Trebuchet MS"/>
                <w:bCs/>
                <w:lang w:val="ro-RO"/>
              </w:rPr>
              <w:t xml:space="preserve"> sau </w:t>
            </w:r>
            <w:r w:rsidR="006502BF" w:rsidRPr="00071135">
              <w:rPr>
                <w:rFonts w:ascii="Trebuchet MS" w:hAnsi="Trebuchet MS"/>
                <w:bCs/>
                <w:lang w:val="ro-RO"/>
              </w:rPr>
              <w:t xml:space="preserve">pe </w:t>
            </w:r>
            <w:r w:rsidRPr="00071135">
              <w:rPr>
                <w:rFonts w:ascii="Trebuchet MS" w:hAnsi="Trebuchet MS"/>
                <w:bCs/>
                <w:lang w:val="ro-RO"/>
              </w:rPr>
              <w:t>an:</w:t>
            </w:r>
          </w:p>
          <w:p w:rsidR="006502BF" w:rsidRPr="00071135" w:rsidRDefault="006502BF"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Pachetul a) privind acordarea plăţilor în favoarea bunăstării porcinelor</w:t>
            </w:r>
          </w:p>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Coeficient conversie in UVM, conform anexei I din Regulamentul (CE) nr. 1091/2018</w:t>
            </w:r>
            <w:r w:rsidR="002E7D37" w:rsidRPr="00071135">
              <w:rPr>
                <w:rFonts w:ascii="Trebuchet MS" w:hAnsi="Trebuchet MS"/>
                <w:bCs/>
                <w:lang w:val="ro-RO"/>
              </w:rPr>
              <w:t>:</w:t>
            </w:r>
          </w:p>
          <w:p w:rsidR="002E7D37" w:rsidRPr="00071135" w:rsidRDefault="002E7D37" w:rsidP="00F354D9">
            <w:pPr>
              <w:keepNext/>
              <w:jc w:val="both"/>
              <w:rPr>
                <w:rFonts w:ascii="Trebuchet MS" w:hAnsi="Trebuchet MS"/>
                <w:bCs/>
                <w:lang w:val="ro-RO"/>
              </w:rPr>
            </w:pPr>
            <w:r w:rsidRPr="00071135">
              <w:rPr>
                <w:rFonts w:ascii="Trebuchet MS" w:hAnsi="Trebuchet MS"/>
                <w:bCs/>
                <w:lang w:val="ro-RO"/>
              </w:rPr>
              <w:t xml:space="preserve">porci grași </w:t>
            </w:r>
            <w:r w:rsidR="0025394D" w:rsidRPr="00071135">
              <w:rPr>
                <w:rFonts w:ascii="Trebuchet MS" w:hAnsi="Trebuchet MS"/>
                <w:bCs/>
                <w:lang w:val="ro-RO"/>
              </w:rPr>
              <w:t>0,3</w:t>
            </w:r>
          </w:p>
          <w:p w:rsidR="0025394D" w:rsidRPr="00071135" w:rsidRDefault="002E7D37" w:rsidP="00F354D9">
            <w:pPr>
              <w:keepNext/>
              <w:jc w:val="both"/>
              <w:rPr>
                <w:rFonts w:ascii="Trebuchet MS" w:hAnsi="Trebuchet MS"/>
                <w:bCs/>
                <w:lang w:val="ro-RO"/>
              </w:rPr>
            </w:pPr>
            <w:r w:rsidRPr="00071135">
              <w:rPr>
                <w:rFonts w:ascii="Trebuchet MS" w:hAnsi="Trebuchet MS"/>
                <w:bCs/>
                <w:lang w:val="ro-RO"/>
              </w:rPr>
              <w:t>animale de reproducție</w:t>
            </w:r>
            <w:r w:rsidR="00F354D9" w:rsidRPr="00071135">
              <w:rPr>
                <w:rFonts w:ascii="Trebuchet MS" w:hAnsi="Trebuchet MS"/>
                <w:bCs/>
                <w:lang w:val="ro-RO"/>
              </w:rPr>
              <w:t xml:space="preserve"> – femele</w:t>
            </w:r>
            <w:r w:rsidRPr="00071135">
              <w:rPr>
                <w:rFonts w:ascii="Trebuchet MS" w:hAnsi="Trebuchet MS"/>
                <w:bCs/>
                <w:lang w:val="ro-RO"/>
              </w:rPr>
              <w:t xml:space="preserve"> (scroafe, scrofițe) </w:t>
            </w:r>
            <w:r w:rsidR="0025394D" w:rsidRPr="00071135">
              <w:rPr>
                <w:rFonts w:ascii="Trebuchet MS" w:hAnsi="Trebuchet MS"/>
                <w:bCs/>
                <w:lang w:val="ro-RO"/>
              </w:rPr>
              <w:t>0,5</w:t>
            </w:r>
          </w:p>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Suma acordată pentru acoperirea costurilor suplimentare şi a pierderii de venituri datorate aplicării măsurilor de bunăstare a animalelor</w:t>
            </w:r>
          </w:p>
          <w:p w:rsidR="002E7D37" w:rsidRPr="00071135" w:rsidRDefault="002E7D37" w:rsidP="00F354D9">
            <w:pPr>
              <w:keepNext/>
              <w:jc w:val="both"/>
              <w:rPr>
                <w:rFonts w:ascii="Trebuchet MS" w:hAnsi="Trebuchet MS"/>
                <w:bCs/>
                <w:lang w:val="ro-RO"/>
              </w:rPr>
            </w:pPr>
            <w:r w:rsidRPr="00071135">
              <w:rPr>
                <w:rFonts w:ascii="Trebuchet MS" w:hAnsi="Trebuchet MS"/>
                <w:bCs/>
                <w:lang w:val="ro-RO"/>
              </w:rPr>
              <w:t>porci grași – plata (euro)</w:t>
            </w:r>
            <w:r w:rsidR="0025394D" w:rsidRPr="00071135">
              <w:rPr>
                <w:rFonts w:ascii="Trebuchet MS" w:hAnsi="Trebuchet MS"/>
                <w:bCs/>
                <w:lang w:val="ro-RO"/>
              </w:rPr>
              <w:t xml:space="preserve"> / UVM / ciclu</w:t>
            </w:r>
          </w:p>
          <w:p w:rsidR="0025394D" w:rsidRPr="00071135" w:rsidRDefault="002E7D37" w:rsidP="00F354D9">
            <w:pPr>
              <w:keepNext/>
              <w:jc w:val="both"/>
              <w:rPr>
                <w:rFonts w:ascii="Trebuchet MS" w:hAnsi="Trebuchet MS"/>
                <w:bCs/>
                <w:lang w:val="ro-RO"/>
              </w:rPr>
            </w:pPr>
            <w:r w:rsidRPr="00071135">
              <w:rPr>
                <w:rFonts w:ascii="Trebuchet MS" w:hAnsi="Trebuchet MS"/>
                <w:bCs/>
                <w:lang w:val="ro-RO"/>
              </w:rPr>
              <w:t>animale de reproducție (scroafe, scrofițe) – plata (euro)</w:t>
            </w:r>
            <w:r w:rsidR="0025394D" w:rsidRPr="00071135">
              <w:rPr>
                <w:rFonts w:ascii="Trebuchet MS" w:hAnsi="Trebuchet MS"/>
                <w:bCs/>
                <w:lang w:val="ro-RO"/>
              </w:rPr>
              <w:t xml:space="preserve"> / UVM / an</w:t>
            </w:r>
          </w:p>
          <w:p w:rsidR="0025394D" w:rsidRPr="00071135" w:rsidRDefault="0025394D" w:rsidP="00F354D9">
            <w:pPr>
              <w:keepNext/>
              <w:jc w:val="both"/>
              <w:rPr>
                <w:rFonts w:ascii="Trebuchet MS" w:hAnsi="Trebuchet MS"/>
                <w:bCs/>
                <w:lang w:val="ro-RO"/>
              </w:rPr>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42"/>
              <w:gridCol w:w="1259"/>
              <w:gridCol w:w="1484"/>
            </w:tblGrid>
            <w:tr w:rsidR="00071135" w:rsidRPr="00071135" w:rsidTr="00350F9A">
              <w:trPr>
                <w:trHeight w:val="20"/>
                <w:tblCellSpacing w:w="0" w:type="dxa"/>
                <w:jc w:val="center"/>
              </w:trPr>
              <w:tc>
                <w:tcPr>
                  <w:tcW w:w="5000" w:type="pct"/>
                  <w:gridSpan w:val="3"/>
                  <w:tcMar>
                    <w:top w:w="0" w:type="dxa"/>
                    <w:left w:w="0" w:type="dxa"/>
                    <w:bottom w:w="0" w:type="dxa"/>
                    <w:right w:w="0" w:type="dxa"/>
                  </w:tcMar>
                  <w:vAlign w:val="center"/>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bookmarkStart w:id="362" w:name="_Hlk89082729"/>
                  <w:r w:rsidRPr="00071135">
                    <w:rPr>
                      <w:rFonts w:ascii="Trebuchet MS" w:eastAsia="Times New Roman" w:hAnsi="Trebuchet MS" w:cstheme="minorHAnsi"/>
                      <w:noProof w:val="0"/>
                      <w:lang w:val="ro-RO" w:eastAsia="en-GB"/>
                    </w:rPr>
                    <w:t xml:space="preserve">Pachetul a) privind acordarea </w:t>
                  </w:r>
                  <w:proofErr w:type="spellStart"/>
                  <w:r w:rsidRPr="00071135">
                    <w:rPr>
                      <w:rFonts w:ascii="Trebuchet MS" w:eastAsia="Times New Roman" w:hAnsi="Trebuchet MS" w:cstheme="minorHAnsi"/>
                      <w:noProof w:val="0"/>
                      <w:lang w:val="ro-RO" w:eastAsia="en-GB"/>
                    </w:rPr>
                    <w:t>plăţilor</w:t>
                  </w:r>
                  <w:proofErr w:type="spellEnd"/>
                  <w:r w:rsidRPr="00071135">
                    <w:rPr>
                      <w:rFonts w:ascii="Trebuchet MS" w:eastAsia="Times New Roman" w:hAnsi="Trebuchet MS" w:cstheme="minorHAnsi"/>
                      <w:noProof w:val="0"/>
                      <w:lang w:val="ro-RO" w:eastAsia="en-GB"/>
                    </w:rPr>
                    <w:t xml:space="preserve"> în favoarea bunăstării porcinelor</w:t>
                  </w:r>
                </w:p>
              </w:tc>
            </w:tr>
            <w:tr w:rsidR="00071135" w:rsidRPr="00071135" w:rsidTr="00350F9A">
              <w:trPr>
                <w:trHeight w:val="20"/>
                <w:tblCellSpacing w:w="0" w:type="dxa"/>
                <w:jc w:val="center"/>
              </w:trPr>
              <w:tc>
                <w:tcPr>
                  <w:tcW w:w="3584" w:type="pct"/>
                  <w:vMerge w:val="restar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roofErr w:type="spellStart"/>
                  <w:r w:rsidRPr="00071135">
                    <w:rPr>
                      <w:rFonts w:ascii="Trebuchet MS" w:eastAsia="Times New Roman" w:hAnsi="Trebuchet MS" w:cstheme="minorHAnsi"/>
                      <w:noProof w:val="0"/>
                      <w:lang w:val="ro-RO" w:eastAsia="en-GB"/>
                    </w:rPr>
                    <w:t>Subpachet</w:t>
                  </w:r>
                  <w:proofErr w:type="spellEnd"/>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 xml:space="preserve">Porci </w:t>
                  </w:r>
                  <w:proofErr w:type="spellStart"/>
                  <w:r w:rsidRPr="00071135">
                    <w:rPr>
                      <w:rFonts w:ascii="Trebuchet MS" w:eastAsia="Times New Roman" w:hAnsi="Trebuchet MS" w:cstheme="minorHAnsi"/>
                      <w:noProof w:val="0"/>
                      <w:lang w:val="ro-RO" w:eastAsia="en-GB"/>
                    </w:rPr>
                    <w:t>graşi</w:t>
                  </w:r>
                  <w:proofErr w:type="spellEnd"/>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Animale de reproducție - femele</w:t>
                  </w:r>
                </w:p>
              </w:tc>
            </w:tr>
            <w:tr w:rsidR="00071135" w:rsidRPr="00071135" w:rsidTr="00350F9A">
              <w:trPr>
                <w:trHeight w:val="20"/>
                <w:tblCellSpacing w:w="0" w:type="dxa"/>
                <w:jc w:val="center"/>
              </w:trPr>
              <w:tc>
                <w:tcPr>
                  <w:tcW w:w="3584" w:type="pct"/>
                  <w:vMerge/>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
              </w:tc>
              <w:tc>
                <w:tcPr>
                  <w:tcW w:w="1416" w:type="pct"/>
                  <w:gridSpan w:val="2"/>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euro / UVM / ciclu</w:t>
                  </w:r>
                </w:p>
              </w:tc>
            </w:tr>
            <w:tr w:rsidR="00071135" w:rsidRPr="00071135" w:rsidTr="00350F9A">
              <w:trPr>
                <w:trHeight w:val="20"/>
                <w:tblCellSpacing w:w="0" w:type="dxa"/>
                <w:jc w:val="center"/>
              </w:trPr>
              <w:tc>
                <w:tcPr>
                  <w:tcW w:w="3584" w:type="pct"/>
                  <w:tcMar>
                    <w:top w:w="0" w:type="dxa"/>
                    <w:left w:w="0" w:type="dxa"/>
                    <w:bottom w:w="0" w:type="dxa"/>
                    <w:right w:w="0" w:type="dxa"/>
                  </w:tcMar>
                  <w:vAlign w:val="center"/>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roofErr w:type="spellStart"/>
                  <w:r w:rsidRPr="00071135">
                    <w:rPr>
                      <w:rFonts w:ascii="Trebuchet MS" w:eastAsia="Times New Roman" w:hAnsi="Trebuchet MS" w:cstheme="minorHAnsi"/>
                      <w:noProof w:val="0"/>
                      <w:lang w:val="ro-RO" w:eastAsia="en-GB"/>
                    </w:rPr>
                    <w:t>Subpachetul</w:t>
                  </w:r>
                  <w:proofErr w:type="spellEnd"/>
                  <w:r w:rsidRPr="00071135">
                    <w:rPr>
                      <w:rFonts w:ascii="Trebuchet MS" w:eastAsia="Times New Roman" w:hAnsi="Trebuchet MS" w:cstheme="minorHAnsi"/>
                      <w:noProof w:val="0"/>
                      <w:lang w:val="ro-RO" w:eastAsia="en-GB"/>
                    </w:rPr>
                    <w:t xml:space="preserve"> 1 a) – </w:t>
                  </w:r>
                  <w:proofErr w:type="spellStart"/>
                  <w:r w:rsidRPr="00071135">
                    <w:rPr>
                      <w:rFonts w:ascii="Trebuchet MS" w:eastAsia="Times New Roman" w:hAnsi="Trebuchet MS" w:cstheme="minorHAnsi"/>
                      <w:noProof w:val="0"/>
                      <w:lang w:val="ro-RO" w:eastAsia="en-GB"/>
                    </w:rPr>
                    <w:t>Cresterea</w:t>
                  </w:r>
                  <w:proofErr w:type="spellEnd"/>
                  <w:r w:rsidRPr="00071135">
                    <w:rPr>
                      <w:rFonts w:ascii="Trebuchet MS" w:eastAsia="Times New Roman" w:hAnsi="Trebuchet MS" w:cstheme="minorHAnsi"/>
                      <w:noProof w:val="0"/>
                      <w:lang w:val="ro-RO" w:eastAsia="en-GB"/>
                    </w:rPr>
                    <w:t xml:space="preserve"> cu cel </w:t>
                  </w:r>
                  <w:proofErr w:type="spellStart"/>
                  <w:r w:rsidRPr="00071135">
                    <w:rPr>
                      <w:rFonts w:ascii="Trebuchet MS" w:eastAsia="Times New Roman" w:hAnsi="Trebuchet MS" w:cstheme="minorHAnsi"/>
                      <w:noProof w:val="0"/>
                      <w:lang w:val="ro-RO" w:eastAsia="en-GB"/>
                    </w:rPr>
                    <w:t>putin</w:t>
                  </w:r>
                  <w:proofErr w:type="spellEnd"/>
                  <w:r w:rsidRPr="00071135">
                    <w:rPr>
                      <w:rFonts w:ascii="Trebuchet MS" w:eastAsia="Times New Roman" w:hAnsi="Trebuchet MS" w:cstheme="minorHAnsi"/>
                      <w:noProof w:val="0"/>
                      <w:lang w:val="ro-RO" w:eastAsia="en-GB"/>
                    </w:rPr>
                    <w:t xml:space="preserve"> 10% a </w:t>
                  </w:r>
                  <w:proofErr w:type="spellStart"/>
                  <w:r w:rsidRPr="00071135">
                    <w:rPr>
                      <w:rFonts w:ascii="Trebuchet MS" w:eastAsia="Times New Roman" w:hAnsi="Trebuchet MS" w:cstheme="minorHAnsi"/>
                      <w:noProof w:val="0"/>
                      <w:lang w:val="ro-RO" w:eastAsia="en-GB"/>
                    </w:rPr>
                    <w:t>spatiului</w:t>
                  </w:r>
                  <w:proofErr w:type="spellEnd"/>
                  <w:r w:rsidRPr="00071135">
                    <w:rPr>
                      <w:rFonts w:ascii="Trebuchet MS" w:eastAsia="Times New Roman" w:hAnsi="Trebuchet MS" w:cstheme="minorHAnsi"/>
                      <w:noProof w:val="0"/>
                      <w:lang w:val="ro-RO" w:eastAsia="en-GB"/>
                    </w:rPr>
                    <w:t xml:space="preserve"> alocat disponibil </w:t>
                  </w:r>
                  <w:proofErr w:type="spellStart"/>
                  <w:r w:rsidRPr="00071135">
                    <w:rPr>
                      <w:rFonts w:ascii="Trebuchet MS" w:eastAsia="Times New Roman" w:hAnsi="Trebuchet MS" w:cstheme="minorHAnsi"/>
                      <w:noProof w:val="0"/>
                      <w:lang w:val="ro-RO" w:eastAsia="en-GB"/>
                    </w:rPr>
                    <w:t>fiecarui</w:t>
                  </w:r>
                  <w:proofErr w:type="spellEnd"/>
                  <w:r w:rsidRPr="00071135">
                    <w:rPr>
                      <w:rFonts w:ascii="Trebuchet MS" w:eastAsia="Times New Roman" w:hAnsi="Trebuchet MS" w:cstheme="minorHAnsi"/>
                      <w:noProof w:val="0"/>
                      <w:lang w:val="ro-RO" w:eastAsia="en-GB"/>
                    </w:rPr>
                    <w:t xml:space="preserve"> animal.</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18,35</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92,95</w:t>
                  </w:r>
                </w:p>
              </w:tc>
            </w:tr>
            <w:tr w:rsidR="00071135" w:rsidRPr="00071135" w:rsidTr="00350F9A">
              <w:trPr>
                <w:trHeight w:val="20"/>
                <w:tblCellSpacing w:w="0" w:type="dxa"/>
                <w:jc w:val="center"/>
              </w:trPr>
              <w:tc>
                <w:tcPr>
                  <w:tcW w:w="3584" w:type="pct"/>
                  <w:tcMar>
                    <w:top w:w="0" w:type="dxa"/>
                    <w:left w:w="0" w:type="dxa"/>
                    <w:bottom w:w="0" w:type="dxa"/>
                    <w:right w:w="0" w:type="dxa"/>
                  </w:tcMar>
                  <w:vAlign w:val="center"/>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roofErr w:type="spellStart"/>
                  <w:r w:rsidRPr="00071135">
                    <w:rPr>
                      <w:rFonts w:ascii="Trebuchet MS" w:eastAsia="Times New Roman" w:hAnsi="Trebuchet MS" w:cstheme="minorHAnsi"/>
                      <w:noProof w:val="0"/>
                      <w:lang w:val="ro-RO" w:eastAsia="en-GB"/>
                    </w:rPr>
                    <w:t>Subpachetul</w:t>
                  </w:r>
                  <w:proofErr w:type="spellEnd"/>
                  <w:r w:rsidRPr="00071135">
                    <w:rPr>
                      <w:rFonts w:ascii="Trebuchet MS" w:eastAsia="Times New Roman" w:hAnsi="Trebuchet MS" w:cstheme="minorHAnsi"/>
                      <w:noProof w:val="0"/>
                      <w:lang w:val="ro-RO" w:eastAsia="en-GB"/>
                    </w:rPr>
                    <w:t xml:space="preserve"> 2 a) – </w:t>
                  </w:r>
                  <w:proofErr w:type="spellStart"/>
                  <w:r w:rsidRPr="00071135">
                    <w:rPr>
                      <w:rFonts w:ascii="Trebuchet MS" w:eastAsia="Times New Roman" w:hAnsi="Trebuchet MS" w:cstheme="minorHAnsi"/>
                      <w:noProof w:val="0"/>
                      <w:lang w:val="ro-RO" w:eastAsia="en-GB"/>
                    </w:rPr>
                    <w:t>Creşterea</w:t>
                  </w:r>
                  <w:proofErr w:type="spellEnd"/>
                  <w:r w:rsidRPr="00071135">
                    <w:rPr>
                      <w:rFonts w:ascii="Trebuchet MS" w:eastAsia="Times New Roman" w:hAnsi="Trebuchet MS" w:cstheme="minorHAnsi"/>
                      <w:noProof w:val="0"/>
                      <w:lang w:val="ro-RO" w:eastAsia="en-GB"/>
                    </w:rPr>
                    <w:t xml:space="preserve"> cu cel </w:t>
                  </w:r>
                  <w:proofErr w:type="spellStart"/>
                  <w:r w:rsidRPr="00071135">
                    <w:rPr>
                      <w:rFonts w:ascii="Trebuchet MS" w:eastAsia="Times New Roman" w:hAnsi="Trebuchet MS" w:cstheme="minorHAnsi"/>
                      <w:noProof w:val="0"/>
                      <w:lang w:val="ro-RO" w:eastAsia="en-GB"/>
                    </w:rPr>
                    <w:t>puţin</w:t>
                  </w:r>
                  <w:proofErr w:type="spellEnd"/>
                  <w:r w:rsidRPr="00071135">
                    <w:rPr>
                      <w:rFonts w:ascii="Trebuchet MS" w:eastAsia="Times New Roman" w:hAnsi="Trebuchet MS" w:cstheme="minorHAnsi"/>
                      <w:noProof w:val="0"/>
                      <w:lang w:val="ro-RO" w:eastAsia="en-GB"/>
                    </w:rPr>
                    <w:t xml:space="preserve"> 15% a </w:t>
                  </w:r>
                  <w:proofErr w:type="spellStart"/>
                  <w:r w:rsidRPr="00071135">
                    <w:rPr>
                      <w:rFonts w:ascii="Trebuchet MS" w:eastAsia="Times New Roman" w:hAnsi="Trebuchet MS" w:cstheme="minorHAnsi"/>
                      <w:noProof w:val="0"/>
                      <w:lang w:val="ro-RO" w:eastAsia="en-GB"/>
                    </w:rPr>
                    <w:t>spaţiului</w:t>
                  </w:r>
                  <w:proofErr w:type="spellEnd"/>
                  <w:r w:rsidRPr="00071135">
                    <w:rPr>
                      <w:rFonts w:ascii="Trebuchet MS" w:eastAsia="Times New Roman" w:hAnsi="Trebuchet MS" w:cstheme="minorHAnsi"/>
                      <w:noProof w:val="0"/>
                      <w:lang w:val="ro-RO" w:eastAsia="en-GB"/>
                    </w:rPr>
                    <w:t xml:space="preserve"> alocat disponibil fiecărui animal.</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29,14</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149,50</w:t>
                  </w:r>
                </w:p>
              </w:tc>
            </w:tr>
            <w:tr w:rsidR="00071135" w:rsidRPr="00071135" w:rsidTr="00350F9A">
              <w:trPr>
                <w:trHeight w:val="20"/>
                <w:tblCellSpacing w:w="0" w:type="dxa"/>
                <w:jc w:val="center"/>
              </w:trPr>
              <w:tc>
                <w:tcPr>
                  <w:tcW w:w="3584" w:type="pct"/>
                  <w:tcMar>
                    <w:top w:w="0" w:type="dxa"/>
                    <w:left w:w="0" w:type="dxa"/>
                    <w:bottom w:w="0" w:type="dxa"/>
                    <w:right w:w="0" w:type="dxa"/>
                  </w:tcMar>
                  <w:vAlign w:val="center"/>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roofErr w:type="spellStart"/>
                  <w:r w:rsidRPr="00071135">
                    <w:rPr>
                      <w:rFonts w:ascii="Trebuchet MS" w:eastAsia="Times New Roman" w:hAnsi="Trebuchet MS" w:cstheme="minorHAnsi"/>
                      <w:noProof w:val="0"/>
                      <w:lang w:val="ro-RO" w:eastAsia="en-GB"/>
                    </w:rPr>
                    <w:t>Subpachetul</w:t>
                  </w:r>
                  <w:proofErr w:type="spellEnd"/>
                  <w:r w:rsidRPr="00071135">
                    <w:rPr>
                      <w:rFonts w:ascii="Trebuchet MS" w:eastAsia="Times New Roman" w:hAnsi="Trebuchet MS" w:cstheme="minorHAnsi"/>
                      <w:noProof w:val="0"/>
                      <w:lang w:val="ro-RO" w:eastAsia="en-GB"/>
                    </w:rPr>
                    <w:t xml:space="preserve"> 3 a) – Reducerea pulberilor cu 30% față de nivelul minim obligatoriu prin menținerea în limite optime a parametrilor de microclimate</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
              </w:tc>
            </w:tr>
            <w:tr w:rsidR="00071135" w:rsidRPr="00071135" w:rsidTr="00350F9A">
              <w:trPr>
                <w:trHeight w:val="20"/>
                <w:tblCellSpacing w:w="0" w:type="dxa"/>
                <w:jc w:val="center"/>
              </w:trPr>
              <w:tc>
                <w:tcPr>
                  <w:tcW w:w="3584" w:type="pct"/>
                  <w:vAlign w:val="center"/>
                </w:tcPr>
                <w:p w:rsidR="002E7D37" w:rsidRPr="00071135" w:rsidRDefault="002E7D37" w:rsidP="00F354D9">
                  <w:pPr>
                    <w:spacing w:after="0" w:line="240" w:lineRule="auto"/>
                    <w:ind w:left="366"/>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3.1 a) fără reducere a densității efectivului</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13,49</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89,63</w:t>
                  </w:r>
                </w:p>
              </w:tc>
            </w:tr>
            <w:tr w:rsidR="00071135" w:rsidRPr="00071135" w:rsidTr="00350F9A">
              <w:trPr>
                <w:trHeight w:val="20"/>
                <w:tblCellSpacing w:w="0" w:type="dxa"/>
                <w:jc w:val="center"/>
              </w:trPr>
              <w:tc>
                <w:tcPr>
                  <w:tcW w:w="3584" w:type="pct"/>
                  <w:vAlign w:val="center"/>
                </w:tcPr>
                <w:p w:rsidR="002E7D37" w:rsidRPr="00071135" w:rsidRDefault="002E7D37" w:rsidP="00F354D9">
                  <w:pPr>
                    <w:spacing w:after="0" w:line="240" w:lineRule="auto"/>
                    <w:ind w:left="366"/>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3.2 a) cu reducerea densității de 10% a efectivului</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13,09</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86,94</w:t>
                  </w:r>
                </w:p>
              </w:tc>
            </w:tr>
            <w:tr w:rsidR="00071135" w:rsidRPr="00071135" w:rsidTr="00350F9A">
              <w:trPr>
                <w:trHeight w:val="20"/>
                <w:tblCellSpacing w:w="0" w:type="dxa"/>
                <w:jc w:val="center"/>
              </w:trPr>
              <w:tc>
                <w:tcPr>
                  <w:tcW w:w="3584" w:type="pct"/>
                  <w:vAlign w:val="center"/>
                </w:tcPr>
                <w:p w:rsidR="002E7D37" w:rsidRPr="00071135" w:rsidRDefault="002E7D37" w:rsidP="00F354D9">
                  <w:pPr>
                    <w:spacing w:after="0" w:line="240" w:lineRule="auto"/>
                    <w:ind w:left="366"/>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3.3 a) cu reducerea densității de 15% a efectivului</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12,89</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85,60</w:t>
                  </w:r>
                </w:p>
              </w:tc>
            </w:tr>
            <w:tr w:rsidR="00071135" w:rsidRPr="00071135" w:rsidTr="00350F9A">
              <w:trPr>
                <w:trHeight w:val="20"/>
                <w:tblCellSpacing w:w="0" w:type="dxa"/>
                <w:jc w:val="center"/>
              </w:trPr>
              <w:tc>
                <w:tcPr>
                  <w:tcW w:w="3584"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proofErr w:type="spellStart"/>
                  <w:r w:rsidRPr="00071135">
                    <w:rPr>
                      <w:rFonts w:ascii="Trebuchet MS" w:eastAsia="Times New Roman" w:hAnsi="Trebuchet MS" w:cstheme="minorHAnsi"/>
                      <w:noProof w:val="0"/>
                      <w:lang w:val="ro-RO" w:eastAsia="en-GB"/>
                    </w:rPr>
                    <w:t>Subpachetul</w:t>
                  </w:r>
                  <w:proofErr w:type="spellEnd"/>
                  <w:r w:rsidRPr="00071135">
                    <w:rPr>
                      <w:rFonts w:ascii="Trebuchet MS" w:eastAsia="Times New Roman" w:hAnsi="Trebuchet MS" w:cstheme="minorHAnsi"/>
                      <w:noProof w:val="0"/>
                      <w:lang w:val="ro-RO" w:eastAsia="en-GB"/>
                    </w:rPr>
                    <w:t xml:space="preserve"> 4 a) – Îmbunătățirea condițiilor zonei de odihnă</w:t>
                  </w:r>
                </w:p>
              </w:tc>
              <w:tc>
                <w:tcPr>
                  <w:tcW w:w="650"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4,00</w:t>
                  </w:r>
                </w:p>
              </w:tc>
              <w:tc>
                <w:tcPr>
                  <w:tcW w:w="766" w:type="pct"/>
                  <w:tcMar>
                    <w:top w:w="0" w:type="dxa"/>
                    <w:left w:w="0" w:type="dxa"/>
                    <w:bottom w:w="0" w:type="dxa"/>
                    <w:right w:w="0" w:type="dxa"/>
                  </w:tcMar>
                  <w:vAlign w:val="center"/>
                  <w:hideMark/>
                </w:tcPr>
                <w:p w:rsidR="002E7D37" w:rsidRPr="00071135" w:rsidRDefault="002E7D37" w:rsidP="00F354D9">
                  <w:pPr>
                    <w:spacing w:after="0" w:line="240" w:lineRule="auto"/>
                    <w:jc w:val="both"/>
                    <w:rPr>
                      <w:rFonts w:ascii="Trebuchet MS" w:eastAsia="Times New Roman" w:hAnsi="Trebuchet MS" w:cstheme="minorHAnsi"/>
                      <w:noProof w:val="0"/>
                      <w:lang w:val="ro-RO" w:eastAsia="en-GB"/>
                    </w:rPr>
                  </w:pPr>
                  <w:r w:rsidRPr="00071135">
                    <w:rPr>
                      <w:rFonts w:ascii="Trebuchet MS" w:eastAsia="Times New Roman" w:hAnsi="Trebuchet MS" w:cstheme="minorHAnsi"/>
                      <w:noProof w:val="0"/>
                      <w:lang w:val="ro-RO" w:eastAsia="en-GB"/>
                    </w:rPr>
                    <w:t>23,36</w:t>
                  </w:r>
                </w:p>
              </w:tc>
            </w:tr>
            <w:bookmarkEnd w:id="362"/>
          </w:tbl>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Pachetul b) privind acordarea plăţilor în favoarea bunăstării păsărilor</w:t>
            </w:r>
          </w:p>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Coeficient conversie in UVM, conform anexei I din Regulamentul (CE) nr. 1091/2018</w:t>
            </w:r>
            <w:r w:rsidR="002E7D37" w:rsidRPr="00071135">
              <w:rPr>
                <w:rFonts w:ascii="Trebuchet MS" w:hAnsi="Trebuchet MS"/>
                <w:bCs/>
                <w:lang w:val="ro-RO"/>
              </w:rPr>
              <w:t>:</w:t>
            </w:r>
          </w:p>
          <w:p w:rsidR="002E7D37" w:rsidRPr="00071135" w:rsidRDefault="002E7D37" w:rsidP="00F354D9">
            <w:pPr>
              <w:keepNext/>
              <w:jc w:val="both"/>
              <w:rPr>
                <w:rFonts w:ascii="Trebuchet MS" w:hAnsi="Trebuchet MS"/>
                <w:bCs/>
                <w:lang w:val="ro-RO"/>
              </w:rPr>
            </w:pPr>
            <w:r w:rsidRPr="00071135">
              <w:rPr>
                <w:rFonts w:ascii="Trebuchet MS" w:hAnsi="Trebuchet MS"/>
                <w:bCs/>
                <w:lang w:val="ro-RO"/>
              </w:rPr>
              <w:lastRenderedPageBreak/>
              <w:t xml:space="preserve">Pui de carne </w:t>
            </w:r>
            <w:r w:rsidR="0025394D" w:rsidRPr="00071135">
              <w:rPr>
                <w:rFonts w:ascii="Trebuchet MS" w:hAnsi="Trebuchet MS"/>
                <w:bCs/>
                <w:lang w:val="ro-RO"/>
              </w:rPr>
              <w:t>0,007</w:t>
            </w:r>
          </w:p>
          <w:p w:rsidR="002E7D37" w:rsidRPr="00071135" w:rsidRDefault="002E7D37" w:rsidP="00F354D9">
            <w:pPr>
              <w:keepNext/>
              <w:jc w:val="both"/>
              <w:rPr>
                <w:rFonts w:ascii="Trebuchet MS" w:hAnsi="Trebuchet MS"/>
                <w:bCs/>
                <w:lang w:val="ro-RO"/>
              </w:rPr>
            </w:pPr>
            <w:r w:rsidRPr="00071135">
              <w:rPr>
                <w:rFonts w:ascii="Trebuchet MS" w:hAnsi="Trebuchet MS"/>
                <w:bCs/>
                <w:lang w:val="ro-RO"/>
              </w:rPr>
              <w:t>Pui de curcă</w:t>
            </w:r>
            <w:r w:rsidR="0025394D" w:rsidRPr="00071135">
              <w:rPr>
                <w:rFonts w:ascii="Trebuchet MS" w:hAnsi="Trebuchet MS"/>
                <w:bCs/>
                <w:lang w:val="ro-RO"/>
              </w:rPr>
              <w:t xml:space="preserve"> 0,03</w:t>
            </w:r>
          </w:p>
          <w:p w:rsidR="002E7D37" w:rsidRPr="00071135" w:rsidRDefault="002E7D37" w:rsidP="00F354D9">
            <w:pPr>
              <w:keepNext/>
              <w:jc w:val="both"/>
              <w:rPr>
                <w:rFonts w:ascii="Trebuchet MS" w:hAnsi="Trebuchet MS"/>
                <w:bCs/>
                <w:lang w:val="ro-RO"/>
              </w:rPr>
            </w:pPr>
            <w:r w:rsidRPr="00071135">
              <w:rPr>
                <w:rFonts w:ascii="Trebuchet MS" w:hAnsi="Trebuchet MS"/>
                <w:bCs/>
                <w:lang w:val="ro-RO"/>
              </w:rPr>
              <w:t>Găini ouătoare</w:t>
            </w:r>
            <w:r w:rsidR="0025394D" w:rsidRPr="00071135">
              <w:rPr>
                <w:rFonts w:ascii="Trebuchet MS" w:hAnsi="Trebuchet MS"/>
                <w:bCs/>
                <w:lang w:val="ro-RO"/>
              </w:rPr>
              <w:t xml:space="preserve"> 0,014</w:t>
            </w:r>
          </w:p>
          <w:p w:rsidR="0025394D" w:rsidRPr="00071135" w:rsidRDefault="002E7D37" w:rsidP="00F354D9">
            <w:pPr>
              <w:keepNext/>
              <w:jc w:val="both"/>
              <w:rPr>
                <w:rFonts w:ascii="Trebuchet MS" w:hAnsi="Trebuchet MS"/>
                <w:bCs/>
                <w:lang w:val="ro-RO"/>
              </w:rPr>
            </w:pPr>
            <w:r w:rsidRPr="00071135">
              <w:rPr>
                <w:rFonts w:ascii="Trebuchet MS" w:hAnsi="Trebuchet MS"/>
                <w:bCs/>
                <w:lang w:val="ro-RO"/>
              </w:rPr>
              <w:t>Găini de reproducţie rase grele</w:t>
            </w:r>
            <w:r w:rsidR="0025394D" w:rsidRPr="00071135">
              <w:rPr>
                <w:rFonts w:ascii="Trebuchet MS" w:hAnsi="Trebuchet MS"/>
                <w:bCs/>
                <w:lang w:val="ro-RO"/>
              </w:rPr>
              <w:t xml:space="preserve"> 0,014</w:t>
            </w:r>
          </w:p>
          <w:p w:rsidR="0025394D" w:rsidRPr="00071135" w:rsidRDefault="0025394D" w:rsidP="00F354D9">
            <w:pPr>
              <w:keepNext/>
              <w:jc w:val="both"/>
              <w:rPr>
                <w:rFonts w:ascii="Trebuchet MS" w:hAnsi="Trebuchet MS"/>
                <w:bCs/>
                <w:lang w:val="ro-RO"/>
              </w:rPr>
            </w:pPr>
          </w:p>
          <w:p w:rsidR="0025394D" w:rsidRPr="00071135" w:rsidRDefault="0025394D" w:rsidP="00F354D9">
            <w:pPr>
              <w:keepNext/>
              <w:jc w:val="both"/>
              <w:rPr>
                <w:rFonts w:ascii="Trebuchet MS" w:hAnsi="Trebuchet MS"/>
                <w:bCs/>
                <w:lang w:val="ro-RO"/>
              </w:rPr>
            </w:pPr>
            <w:r w:rsidRPr="00071135">
              <w:rPr>
                <w:rFonts w:ascii="Trebuchet MS" w:hAnsi="Trebuchet MS"/>
                <w:bCs/>
                <w:lang w:val="ro-RO"/>
              </w:rPr>
              <w:t>Suma acordată pentru acoperirea costurilor suplimentare şi a pierderii de venituri datorate aplicării măsurilor de bunăstare a animalelor</w:t>
            </w:r>
            <w:r w:rsidR="002E7D37" w:rsidRPr="00071135">
              <w:rPr>
                <w:rFonts w:ascii="Trebuchet MS" w:hAnsi="Trebuchet MS"/>
                <w:bCs/>
                <w:lang w:val="ro-RO"/>
              </w:rPr>
              <w:t>:</w:t>
            </w:r>
          </w:p>
          <w:p w:rsidR="00C76505" w:rsidRPr="00071135" w:rsidRDefault="002E7D37" w:rsidP="00F354D9">
            <w:pPr>
              <w:keepNext/>
              <w:jc w:val="both"/>
              <w:rPr>
                <w:rFonts w:ascii="Trebuchet MS" w:hAnsi="Trebuchet MS"/>
                <w:bCs/>
                <w:lang w:val="ro-RO"/>
              </w:rPr>
            </w:pPr>
            <w:r w:rsidRPr="00071135">
              <w:rPr>
                <w:rFonts w:ascii="Trebuchet MS" w:hAnsi="Trebuchet MS"/>
                <w:bCs/>
                <w:lang w:val="ro-RO"/>
              </w:rPr>
              <w:t xml:space="preserve">Pui de carne și Pui de curcă </w:t>
            </w:r>
            <w:r w:rsidR="00C76505" w:rsidRPr="00071135">
              <w:rPr>
                <w:rFonts w:ascii="Trebuchet MS" w:hAnsi="Trebuchet MS"/>
                <w:bCs/>
                <w:lang w:val="ro-RO"/>
              </w:rPr>
              <w:t>–</w:t>
            </w:r>
            <w:r w:rsidRPr="00071135">
              <w:rPr>
                <w:rFonts w:ascii="Trebuchet MS" w:hAnsi="Trebuchet MS"/>
                <w:bCs/>
                <w:lang w:val="ro-RO"/>
              </w:rPr>
              <w:t xml:space="preserve"> </w:t>
            </w:r>
            <w:r w:rsidR="00C76505" w:rsidRPr="00071135">
              <w:rPr>
                <w:rFonts w:ascii="Trebuchet MS" w:hAnsi="Trebuchet MS"/>
                <w:bCs/>
                <w:lang w:val="ro-RO"/>
              </w:rPr>
              <w:t>plata (</w:t>
            </w:r>
            <w:r w:rsidR="0025394D" w:rsidRPr="00071135">
              <w:rPr>
                <w:rFonts w:ascii="Trebuchet MS" w:hAnsi="Trebuchet MS"/>
                <w:bCs/>
                <w:lang w:val="ro-RO"/>
              </w:rPr>
              <w:t>euro</w:t>
            </w:r>
            <w:r w:rsidR="00C76505" w:rsidRPr="00071135">
              <w:rPr>
                <w:rFonts w:ascii="Trebuchet MS" w:hAnsi="Trebuchet MS"/>
                <w:bCs/>
                <w:lang w:val="ro-RO"/>
              </w:rPr>
              <w:t>)</w:t>
            </w:r>
            <w:r w:rsidR="0025394D" w:rsidRPr="00071135">
              <w:rPr>
                <w:rFonts w:ascii="Trebuchet MS" w:hAnsi="Trebuchet MS"/>
                <w:bCs/>
                <w:lang w:val="ro-RO"/>
              </w:rPr>
              <w:t>/UVM/ciclu</w:t>
            </w:r>
          </w:p>
          <w:p w:rsidR="0025394D" w:rsidRPr="00071135" w:rsidRDefault="00C76505" w:rsidP="00F354D9">
            <w:pPr>
              <w:keepNext/>
              <w:jc w:val="both"/>
              <w:rPr>
                <w:rFonts w:ascii="Trebuchet MS" w:hAnsi="Trebuchet MS"/>
                <w:bCs/>
                <w:lang w:val="ro-RO"/>
              </w:rPr>
            </w:pPr>
            <w:r w:rsidRPr="00071135">
              <w:rPr>
                <w:rFonts w:ascii="Trebuchet MS" w:hAnsi="Trebuchet MS"/>
                <w:bCs/>
                <w:lang w:val="ro-RO"/>
              </w:rPr>
              <w:t>Găini ouătoare și Găini de reproducţie rase grele –</w:t>
            </w:r>
            <w:r w:rsidR="0025394D" w:rsidRPr="00071135">
              <w:rPr>
                <w:rFonts w:ascii="Trebuchet MS" w:hAnsi="Trebuchet MS"/>
                <w:bCs/>
                <w:lang w:val="ro-RO"/>
              </w:rPr>
              <w:t xml:space="preserve"> </w:t>
            </w:r>
            <w:r w:rsidRPr="00071135">
              <w:rPr>
                <w:rFonts w:ascii="Trebuchet MS" w:hAnsi="Trebuchet MS"/>
                <w:bCs/>
                <w:lang w:val="ro-RO"/>
              </w:rPr>
              <w:t>plata (</w:t>
            </w:r>
            <w:r w:rsidR="0025394D" w:rsidRPr="00071135">
              <w:rPr>
                <w:rFonts w:ascii="Trebuchet MS" w:hAnsi="Trebuchet MS"/>
                <w:bCs/>
                <w:lang w:val="ro-RO"/>
              </w:rPr>
              <w:t>euro</w:t>
            </w:r>
            <w:r w:rsidRPr="00071135">
              <w:rPr>
                <w:rFonts w:ascii="Trebuchet MS" w:hAnsi="Trebuchet MS"/>
                <w:bCs/>
                <w:lang w:val="ro-RO"/>
              </w:rPr>
              <w:t>)</w:t>
            </w:r>
            <w:r w:rsidR="0025394D" w:rsidRPr="00071135">
              <w:rPr>
                <w:rFonts w:ascii="Trebuchet MS" w:hAnsi="Trebuchet MS"/>
                <w:bCs/>
                <w:lang w:val="ro-RO"/>
              </w:rPr>
              <w:t>/UVM/an</w:t>
            </w:r>
          </w:p>
          <w:p w:rsidR="0025394D" w:rsidRPr="00071135" w:rsidRDefault="0025394D" w:rsidP="00F354D9">
            <w:pPr>
              <w:keepNext/>
              <w:jc w:val="both"/>
              <w:rPr>
                <w:rFonts w:ascii="Trebuchet MS" w:hAnsi="Trebuchet MS"/>
                <w:bCs/>
                <w:lang w:val="ro-RO"/>
              </w:rPr>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75"/>
              <w:gridCol w:w="1374"/>
              <w:gridCol w:w="1240"/>
              <w:gridCol w:w="1122"/>
              <w:gridCol w:w="1174"/>
            </w:tblGrid>
            <w:tr w:rsidR="00071135" w:rsidRPr="00071135" w:rsidTr="00350F9A">
              <w:trPr>
                <w:trHeight w:val="15"/>
                <w:tblCellSpacing w:w="0" w:type="dxa"/>
                <w:jc w:val="center"/>
              </w:trPr>
              <w:tc>
                <w:tcPr>
                  <w:tcW w:w="9911" w:type="dxa"/>
                  <w:gridSpan w:val="5"/>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bookmarkStart w:id="363" w:name="_Hlk89082754"/>
                  <w:proofErr w:type="spellStart"/>
                  <w:r w:rsidRPr="00071135">
                    <w:rPr>
                      <w:rFonts w:ascii="Trebuchet MS" w:eastAsia="Times New Roman" w:hAnsi="Trebuchet MS" w:cstheme="minorHAnsi"/>
                      <w:noProof w:val="0"/>
                      <w:lang w:eastAsia="en-GB"/>
                    </w:rPr>
                    <w:t>Pachetul</w:t>
                  </w:r>
                  <w:proofErr w:type="spellEnd"/>
                  <w:r w:rsidRPr="00071135">
                    <w:rPr>
                      <w:rFonts w:ascii="Trebuchet MS" w:eastAsia="Times New Roman" w:hAnsi="Trebuchet MS" w:cstheme="minorHAnsi"/>
                      <w:noProof w:val="0"/>
                      <w:lang w:eastAsia="en-GB"/>
                    </w:rPr>
                    <w:t xml:space="preserve"> b) </w:t>
                  </w:r>
                  <w:proofErr w:type="spellStart"/>
                  <w:r w:rsidRPr="00071135">
                    <w:rPr>
                      <w:rFonts w:ascii="Trebuchet MS" w:eastAsia="Times New Roman" w:hAnsi="Trebuchet MS" w:cstheme="minorHAnsi"/>
                      <w:noProof w:val="0"/>
                      <w:lang w:eastAsia="en-GB"/>
                    </w:rPr>
                    <w:t>privind</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acordarea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plăţilor</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în</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favoarea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bunăstării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păsărilor</w:t>
                  </w:r>
                  <w:proofErr w:type="spellEnd"/>
                </w:p>
              </w:tc>
            </w:tr>
            <w:tr w:rsidR="00071135" w:rsidRPr="00071135" w:rsidTr="00350F9A">
              <w:trPr>
                <w:trHeight w:val="15"/>
                <w:tblCellSpacing w:w="0" w:type="dxa"/>
                <w:jc w:val="center"/>
              </w:trPr>
              <w:tc>
                <w:tcPr>
                  <w:tcW w:w="4957" w:type="dxa"/>
                  <w:vMerge w:val="restart"/>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Subpachet</w:t>
                  </w:r>
                  <w:proofErr w:type="spellEnd"/>
                </w:p>
              </w:tc>
              <w:tc>
                <w:tcPr>
                  <w:tcW w:w="141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Pui</w:t>
                  </w:r>
                  <w:proofErr w:type="spellEnd"/>
                  <w:r w:rsidRPr="00071135">
                    <w:rPr>
                      <w:rFonts w:ascii="Trebuchet MS" w:eastAsia="Times New Roman" w:hAnsi="Trebuchet MS" w:cstheme="minorHAnsi"/>
                      <w:noProof w:val="0"/>
                      <w:lang w:eastAsia="en-GB"/>
                    </w:rPr>
                    <w:t xml:space="preserve"> de carne</w:t>
                  </w: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Pui</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curcă</w:t>
                  </w:r>
                  <w:proofErr w:type="spellEnd"/>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Găini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ouătoare</w:t>
                  </w:r>
                  <w:proofErr w:type="spellEnd"/>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Găini</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reproducţie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rase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grele</w:t>
                  </w:r>
                  <w:proofErr w:type="spellEnd"/>
                </w:p>
              </w:tc>
            </w:tr>
            <w:tr w:rsidR="00071135" w:rsidRPr="00071135" w:rsidTr="00350F9A">
              <w:trPr>
                <w:trHeight w:val="15"/>
                <w:tblCellSpacing w:w="0" w:type="dxa"/>
                <w:jc w:val="center"/>
              </w:trPr>
              <w:tc>
                <w:tcPr>
                  <w:tcW w:w="4957" w:type="dxa"/>
                  <w:vMerge/>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p>
              </w:tc>
              <w:tc>
                <w:tcPr>
                  <w:tcW w:w="4954" w:type="dxa"/>
                  <w:gridSpan w:val="4"/>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 xml:space="preserve">euro / UVM / </w:t>
                  </w:r>
                  <w:proofErr w:type="spellStart"/>
                  <w:r w:rsidRPr="00071135">
                    <w:rPr>
                      <w:rFonts w:ascii="Trebuchet MS" w:eastAsia="Times New Roman" w:hAnsi="Trebuchet MS" w:cstheme="minorHAnsi"/>
                      <w:noProof w:val="0"/>
                      <w:lang w:eastAsia="en-GB"/>
                    </w:rPr>
                    <w:t>ciclu</w:t>
                  </w:r>
                  <w:proofErr w:type="spellEnd"/>
                </w:p>
              </w:tc>
            </w:tr>
            <w:tr w:rsidR="00071135" w:rsidRPr="00071135" w:rsidTr="00350F9A">
              <w:trPr>
                <w:trHeight w:val="15"/>
                <w:tblCellSpacing w:w="0" w:type="dxa"/>
                <w:jc w:val="center"/>
              </w:trPr>
              <w:tc>
                <w:tcPr>
                  <w:tcW w:w="495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Subpachetul</w:t>
                  </w:r>
                  <w:proofErr w:type="spellEnd"/>
                  <w:r w:rsidRPr="00071135">
                    <w:rPr>
                      <w:rFonts w:ascii="Trebuchet MS" w:eastAsia="Times New Roman" w:hAnsi="Trebuchet MS" w:cstheme="minorHAnsi"/>
                      <w:noProof w:val="0"/>
                      <w:lang w:eastAsia="en-GB"/>
                    </w:rPr>
                    <w:t xml:space="preserve"> 1b) – </w:t>
                  </w:r>
                  <w:proofErr w:type="spellStart"/>
                  <w:r w:rsidRPr="00071135">
                    <w:rPr>
                      <w:rFonts w:ascii="Trebuchet MS" w:eastAsia="Times New Roman" w:hAnsi="Trebuchet MS" w:cstheme="minorHAnsi"/>
                      <w:noProof w:val="0"/>
                      <w:lang w:eastAsia="en-GB"/>
                    </w:rPr>
                    <w:t>reducerea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densităţii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păsărilor</w:t>
                  </w:r>
                  <w:proofErr w:type="spellEnd"/>
                  <w:r w:rsidRPr="00071135">
                    <w:rPr>
                      <w:rFonts w:ascii="Trebuchet MS" w:eastAsia="Times New Roman" w:hAnsi="Trebuchet MS" w:cstheme="minorHAnsi"/>
                      <w:noProof w:val="0"/>
                      <w:lang w:eastAsia="en-GB"/>
                    </w:rPr>
                    <w:t xml:space="preserve"> cu 10% </w:t>
                  </w:r>
                  <w:proofErr w:type="spellStart"/>
                  <w:r w:rsidRPr="00071135">
                    <w:rPr>
                      <w:rFonts w:ascii="Trebuchet MS" w:eastAsia="Times New Roman" w:hAnsi="Trebuchet MS" w:cstheme="minorHAnsi"/>
                      <w:noProof w:val="0"/>
                      <w:lang w:eastAsia="en-GB"/>
                    </w:rPr>
                    <w:t>faţă</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densitatea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rezultată</w:t>
                  </w:r>
                  <w:proofErr w:type="spellEnd"/>
                  <w:r w:rsidRPr="00071135">
                    <w:rPr>
                      <w:rFonts w:ascii="Trebuchet MS" w:eastAsia="Times New Roman" w:hAnsi="Trebuchet MS" w:cstheme="minorHAnsi"/>
                      <w:noProof w:val="0"/>
                      <w:lang w:eastAsia="en-GB"/>
                    </w:rPr>
                    <w:t xml:space="preserve"> din </w:t>
                  </w:r>
                  <w:proofErr w:type="spellStart"/>
                  <w:r w:rsidRPr="00071135">
                    <w:rPr>
                      <w:rFonts w:ascii="Trebuchet MS" w:eastAsia="Times New Roman" w:hAnsi="Trebuchet MS" w:cstheme="minorHAnsi"/>
                      <w:noProof w:val="0"/>
                      <w:lang w:eastAsia="en-GB"/>
                    </w:rPr>
                    <w:t>aplicarea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cerinţelor</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minime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obligatorii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privind</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suprafaţa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minimă</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alocată</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pentru</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fiecare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categorie</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păsări</w:t>
                  </w:r>
                  <w:proofErr w:type="spellEnd"/>
                </w:p>
              </w:tc>
              <w:tc>
                <w:tcPr>
                  <w:tcW w:w="1417" w:type="dxa"/>
                  <w:tcMar>
                    <w:top w:w="0" w:type="dxa"/>
                    <w:left w:w="0" w:type="dxa"/>
                    <w:bottom w:w="0" w:type="dxa"/>
                    <w:right w:w="0" w:type="dxa"/>
                  </w:tcMar>
                  <w:vAlign w:val="center"/>
                  <w:hideMark/>
                </w:tcPr>
                <w:p w:rsidR="00C76505" w:rsidRPr="00071135" w:rsidRDefault="00F354D9"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13,67</w:t>
                  </w: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20,34</w:t>
                  </w:r>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84,41</w:t>
                  </w:r>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133,73</w:t>
                  </w:r>
                </w:p>
              </w:tc>
            </w:tr>
            <w:tr w:rsidR="00071135" w:rsidRPr="00071135" w:rsidTr="00350F9A">
              <w:trPr>
                <w:trHeight w:val="15"/>
                <w:tblCellSpacing w:w="0" w:type="dxa"/>
                <w:jc w:val="center"/>
              </w:trPr>
              <w:tc>
                <w:tcPr>
                  <w:tcW w:w="4957" w:type="dxa"/>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Subpachetul</w:t>
                  </w:r>
                  <w:proofErr w:type="spellEnd"/>
                  <w:r w:rsidRPr="00071135">
                    <w:rPr>
                      <w:rFonts w:ascii="Trebuchet MS" w:eastAsia="Times New Roman" w:hAnsi="Trebuchet MS" w:cstheme="minorHAnsi"/>
                      <w:noProof w:val="0"/>
                      <w:lang w:eastAsia="en-GB"/>
                    </w:rPr>
                    <w:t xml:space="preserve"> 2 b) - </w:t>
                  </w:r>
                  <w:proofErr w:type="spellStart"/>
                  <w:r w:rsidRPr="00071135">
                    <w:rPr>
                      <w:rFonts w:ascii="Trebuchet MS" w:eastAsia="Times New Roman" w:hAnsi="Trebuchet MS" w:cstheme="minorHAnsi"/>
                      <w:noProof w:val="0"/>
                      <w:lang w:eastAsia="en-GB"/>
                    </w:rPr>
                    <w:t>reducerea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densităţii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păsărilor</w:t>
                  </w:r>
                  <w:proofErr w:type="spellEnd"/>
                  <w:r w:rsidRPr="00071135">
                    <w:rPr>
                      <w:rFonts w:ascii="Trebuchet MS" w:eastAsia="Times New Roman" w:hAnsi="Trebuchet MS" w:cstheme="minorHAnsi"/>
                      <w:noProof w:val="0"/>
                      <w:lang w:eastAsia="en-GB"/>
                    </w:rPr>
                    <w:t xml:space="preserve"> cu 15% </w:t>
                  </w:r>
                  <w:proofErr w:type="spellStart"/>
                  <w:r w:rsidRPr="00071135">
                    <w:rPr>
                      <w:rFonts w:ascii="Trebuchet MS" w:eastAsia="Times New Roman" w:hAnsi="Trebuchet MS" w:cstheme="minorHAnsi"/>
                      <w:noProof w:val="0"/>
                      <w:lang w:eastAsia="en-GB"/>
                    </w:rPr>
                    <w:t>faţă</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densitatea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rezultată</w:t>
                  </w:r>
                  <w:proofErr w:type="spellEnd"/>
                  <w:r w:rsidRPr="00071135">
                    <w:rPr>
                      <w:rFonts w:ascii="Trebuchet MS" w:eastAsia="Times New Roman" w:hAnsi="Trebuchet MS" w:cstheme="minorHAnsi"/>
                      <w:noProof w:val="0"/>
                      <w:lang w:eastAsia="en-GB"/>
                    </w:rPr>
                    <w:t xml:space="preserve"> din </w:t>
                  </w:r>
                  <w:proofErr w:type="spellStart"/>
                  <w:r w:rsidRPr="00071135">
                    <w:rPr>
                      <w:rFonts w:ascii="Trebuchet MS" w:eastAsia="Times New Roman" w:hAnsi="Trebuchet MS" w:cstheme="minorHAnsi"/>
                      <w:noProof w:val="0"/>
                      <w:lang w:eastAsia="en-GB"/>
                    </w:rPr>
                    <w:t>aplicarea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cerinţelor</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minime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obligatorii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privind</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suprafaţa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minimă</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alocată</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pentru</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fiecare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categorie</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păsări</w:t>
                  </w:r>
                  <w:proofErr w:type="spellEnd"/>
                </w:p>
              </w:tc>
              <w:tc>
                <w:tcPr>
                  <w:tcW w:w="1417" w:type="dxa"/>
                  <w:tcMar>
                    <w:top w:w="0" w:type="dxa"/>
                    <w:left w:w="0" w:type="dxa"/>
                    <w:bottom w:w="0" w:type="dxa"/>
                    <w:right w:w="0" w:type="dxa"/>
                  </w:tcMar>
                  <w:vAlign w:val="center"/>
                  <w:hideMark/>
                </w:tcPr>
                <w:p w:rsidR="00C76505" w:rsidRPr="00071135" w:rsidRDefault="00F354D9"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20,53</w:t>
                  </w: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30,51</w:t>
                  </w:r>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126,62</w:t>
                  </w:r>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200,60</w:t>
                  </w:r>
                </w:p>
              </w:tc>
            </w:tr>
            <w:tr w:rsidR="00071135" w:rsidRPr="00071135" w:rsidTr="00350F9A">
              <w:trPr>
                <w:trHeight w:val="15"/>
                <w:tblCellSpacing w:w="0" w:type="dxa"/>
                <w:jc w:val="center"/>
              </w:trPr>
              <w:tc>
                <w:tcPr>
                  <w:tcW w:w="4957" w:type="dxa"/>
                  <w:tcMar>
                    <w:top w:w="0" w:type="dxa"/>
                    <w:left w:w="0" w:type="dxa"/>
                    <w:bottom w:w="0" w:type="dxa"/>
                    <w:right w:w="0" w:type="dxa"/>
                  </w:tcMar>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proofErr w:type="spellStart"/>
                  <w:r w:rsidRPr="00071135">
                    <w:rPr>
                      <w:rFonts w:ascii="Trebuchet MS" w:eastAsia="Times New Roman" w:hAnsi="Trebuchet MS" w:cstheme="minorHAnsi"/>
                      <w:noProof w:val="0"/>
                      <w:lang w:eastAsia="en-GB"/>
                    </w:rPr>
                    <w:t>Subpachetul</w:t>
                  </w:r>
                  <w:proofErr w:type="spellEnd"/>
                  <w:r w:rsidRPr="00071135">
                    <w:rPr>
                      <w:rFonts w:ascii="Trebuchet MS" w:eastAsia="Times New Roman" w:hAnsi="Trebuchet MS" w:cstheme="minorHAnsi"/>
                      <w:noProof w:val="0"/>
                      <w:lang w:eastAsia="en-GB"/>
                    </w:rPr>
                    <w:t xml:space="preserve"> 3 b) – </w:t>
                  </w:r>
                  <w:proofErr w:type="spellStart"/>
                  <w:r w:rsidRPr="00071135">
                    <w:rPr>
                      <w:rFonts w:ascii="Trebuchet MS" w:eastAsia="Times New Roman" w:hAnsi="Trebuchet MS" w:cstheme="minorHAnsi"/>
                      <w:noProof w:val="0"/>
                      <w:lang w:eastAsia="en-GB"/>
                    </w:rPr>
                    <w:t>reducerea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noxelor</w:t>
                  </w:r>
                  <w:proofErr w:type="spellEnd"/>
                  <w:r w:rsidRPr="00071135">
                    <w:rPr>
                      <w:rFonts w:ascii="Trebuchet MS" w:eastAsia="Times New Roman" w:hAnsi="Trebuchet MS" w:cstheme="minorHAnsi"/>
                      <w:noProof w:val="0"/>
                      <w:lang w:eastAsia="en-GB"/>
                    </w:rPr>
                    <w:t xml:space="preserve"> cu 30% </w:t>
                  </w:r>
                  <w:proofErr w:type="spellStart"/>
                  <w:r w:rsidRPr="00071135">
                    <w:rPr>
                      <w:rFonts w:ascii="Trebuchet MS" w:eastAsia="Times New Roman" w:hAnsi="Trebuchet MS" w:cstheme="minorHAnsi"/>
                      <w:noProof w:val="0"/>
                      <w:lang w:eastAsia="en-GB"/>
                    </w:rPr>
                    <w:t>față</w:t>
                  </w:r>
                  <w:proofErr w:type="spellEnd"/>
                  <w:r w:rsidRPr="00071135">
                    <w:rPr>
                      <w:rFonts w:ascii="Trebuchet MS" w:eastAsia="Times New Roman" w:hAnsi="Trebuchet MS" w:cstheme="minorHAnsi"/>
                      <w:noProof w:val="0"/>
                      <w:lang w:eastAsia="en-GB"/>
                    </w:rPr>
                    <w:t xml:space="preserve"> de </w:t>
                  </w:r>
                  <w:proofErr w:type="spellStart"/>
                  <w:r w:rsidRPr="00071135">
                    <w:rPr>
                      <w:rFonts w:ascii="Trebuchet MS" w:eastAsia="Times New Roman" w:hAnsi="Trebuchet MS" w:cstheme="minorHAnsi"/>
                      <w:noProof w:val="0"/>
                      <w:lang w:eastAsia="en-GB"/>
                    </w:rPr>
                    <w:t>nivelul</w:t>
                  </w:r>
                  <w:proofErr w:type="spellEnd"/>
                  <w:r w:rsidRPr="00071135">
                    <w:rPr>
                      <w:rFonts w:ascii="Trebuchet MS" w:eastAsia="Times New Roman" w:hAnsi="Trebuchet MS" w:cstheme="minorHAnsi"/>
                      <w:noProof w:val="0"/>
                      <w:lang w:eastAsia="en-GB"/>
                    </w:rPr>
                    <w:t xml:space="preserve"> minim </w:t>
                  </w:r>
                  <w:proofErr w:type="spellStart"/>
                  <w:r w:rsidRPr="00071135">
                    <w:rPr>
                      <w:rFonts w:ascii="Trebuchet MS" w:eastAsia="Times New Roman" w:hAnsi="Trebuchet MS" w:cstheme="minorHAnsi"/>
                      <w:noProof w:val="0"/>
                      <w:lang w:eastAsia="en-GB"/>
                    </w:rPr>
                    <w:t>obligatoriu</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prin</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menținerea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în</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limite</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optime</w:t>
                  </w:r>
                  <w:proofErr w:type="spellEnd"/>
                  <w:r w:rsidRPr="00071135">
                    <w:rPr>
                      <w:rFonts w:ascii="Trebuchet MS" w:eastAsia="Times New Roman" w:hAnsi="Trebuchet MS" w:cstheme="minorHAnsi"/>
                      <w:noProof w:val="0"/>
                      <w:lang w:eastAsia="en-GB"/>
                    </w:rPr>
                    <w:t xml:space="preserve"> a </w:t>
                  </w:r>
                  <w:proofErr w:type="spellStart"/>
                  <w:r w:rsidRPr="00071135">
                    <w:rPr>
                      <w:rFonts w:ascii="Trebuchet MS" w:eastAsia="Times New Roman" w:hAnsi="Trebuchet MS" w:cstheme="minorHAnsi"/>
                      <w:noProof w:val="0"/>
                      <w:lang w:eastAsia="en-GB"/>
                    </w:rPr>
                    <w:t>parametrilor</w:t>
                  </w:r>
                  <w:proofErr w:type="spellEnd"/>
                  <w:r w:rsidRPr="00071135">
                    <w:rPr>
                      <w:rFonts w:ascii="Trebuchet MS" w:eastAsia="Times New Roman" w:hAnsi="Trebuchet MS" w:cstheme="minorHAnsi"/>
                      <w:noProof w:val="0"/>
                      <w:lang w:eastAsia="en-GB"/>
                    </w:rPr>
                    <w:t xml:space="preserve"> de microclimate</w:t>
                  </w:r>
                </w:p>
              </w:tc>
              <w:tc>
                <w:tcPr>
                  <w:tcW w:w="141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p>
              </w:tc>
            </w:tr>
            <w:tr w:rsidR="00071135" w:rsidRPr="00071135" w:rsidTr="00350F9A">
              <w:trPr>
                <w:trHeight w:val="15"/>
                <w:tblCellSpacing w:w="0" w:type="dxa"/>
                <w:jc w:val="center"/>
              </w:trPr>
              <w:tc>
                <w:tcPr>
                  <w:tcW w:w="4957" w:type="dxa"/>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 xml:space="preserve">3.1.b) cu </w:t>
                  </w:r>
                  <w:proofErr w:type="spellStart"/>
                  <w:r w:rsidRPr="00071135">
                    <w:rPr>
                      <w:rFonts w:ascii="Trebuchet MS" w:eastAsia="Times New Roman" w:hAnsi="Trebuchet MS" w:cstheme="minorHAnsi"/>
                      <w:noProof w:val="0"/>
                      <w:lang w:eastAsia="en-GB"/>
                    </w:rPr>
                    <w:t>reducerea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densității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efectivului</w:t>
                  </w:r>
                  <w:proofErr w:type="spellEnd"/>
                  <w:r w:rsidRPr="00071135">
                    <w:rPr>
                      <w:rFonts w:ascii="Trebuchet MS" w:eastAsia="Times New Roman" w:hAnsi="Trebuchet MS" w:cstheme="minorHAnsi"/>
                      <w:noProof w:val="0"/>
                      <w:lang w:eastAsia="en-GB"/>
                    </w:rPr>
                    <w:t xml:space="preserve"> de 10% (1b)</w:t>
                  </w:r>
                </w:p>
              </w:tc>
              <w:tc>
                <w:tcPr>
                  <w:tcW w:w="1417" w:type="dxa"/>
                  <w:tcMar>
                    <w:top w:w="0" w:type="dxa"/>
                    <w:left w:w="0" w:type="dxa"/>
                    <w:bottom w:w="0" w:type="dxa"/>
                    <w:right w:w="0" w:type="dxa"/>
                  </w:tcMar>
                  <w:vAlign w:val="center"/>
                  <w:hideMark/>
                </w:tcPr>
                <w:p w:rsidR="00C76505" w:rsidRPr="00071135" w:rsidRDefault="00F354D9"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6,26</w:t>
                  </w: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4,85</w:t>
                  </w:r>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14,17</w:t>
                  </w:r>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33,23</w:t>
                  </w:r>
                </w:p>
              </w:tc>
            </w:tr>
            <w:tr w:rsidR="00071135" w:rsidRPr="00071135" w:rsidTr="00350F9A">
              <w:trPr>
                <w:trHeight w:val="15"/>
                <w:tblCellSpacing w:w="0" w:type="dxa"/>
                <w:jc w:val="center"/>
              </w:trPr>
              <w:tc>
                <w:tcPr>
                  <w:tcW w:w="4957" w:type="dxa"/>
                  <w:vAlign w:val="center"/>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 xml:space="preserve">3.2.b) cu </w:t>
                  </w:r>
                  <w:proofErr w:type="spellStart"/>
                  <w:r w:rsidRPr="00071135">
                    <w:rPr>
                      <w:rFonts w:ascii="Trebuchet MS" w:eastAsia="Times New Roman" w:hAnsi="Trebuchet MS" w:cstheme="minorHAnsi"/>
                      <w:noProof w:val="0"/>
                      <w:lang w:eastAsia="en-GB"/>
                    </w:rPr>
                    <w:t>reducerea</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densității</w:t>
                  </w:r>
                  <w:proofErr w:type="spellEnd"/>
                  <w:r w:rsidRPr="00071135">
                    <w:rPr>
                      <w:rFonts w:ascii="Trebuchet MS" w:eastAsia="Times New Roman" w:hAnsi="Trebuchet MS" w:cstheme="minorHAnsi"/>
                      <w:noProof w:val="0"/>
                      <w:lang w:eastAsia="en-GB"/>
                    </w:rPr>
                    <w:t xml:space="preserve"> </w:t>
                  </w:r>
                  <w:proofErr w:type="spellStart"/>
                  <w:r w:rsidRPr="00071135">
                    <w:rPr>
                      <w:rFonts w:ascii="Trebuchet MS" w:eastAsia="Times New Roman" w:hAnsi="Trebuchet MS" w:cstheme="minorHAnsi"/>
                      <w:noProof w:val="0"/>
                      <w:lang w:eastAsia="en-GB"/>
                    </w:rPr>
                    <w:t>efectivului</w:t>
                  </w:r>
                  <w:proofErr w:type="spellEnd"/>
                  <w:r w:rsidRPr="00071135">
                    <w:rPr>
                      <w:rFonts w:ascii="Trebuchet MS" w:eastAsia="Times New Roman" w:hAnsi="Trebuchet MS" w:cstheme="minorHAnsi"/>
                      <w:noProof w:val="0"/>
                      <w:lang w:eastAsia="en-GB"/>
                    </w:rPr>
                    <w:t xml:space="preserve"> de 15% (2b)</w:t>
                  </w:r>
                </w:p>
              </w:tc>
              <w:tc>
                <w:tcPr>
                  <w:tcW w:w="1417" w:type="dxa"/>
                  <w:tcMar>
                    <w:top w:w="0" w:type="dxa"/>
                    <w:left w:w="0" w:type="dxa"/>
                    <w:bottom w:w="0" w:type="dxa"/>
                    <w:right w:w="0" w:type="dxa"/>
                  </w:tcMar>
                  <w:vAlign w:val="center"/>
                  <w:hideMark/>
                </w:tcPr>
                <w:p w:rsidR="00C76505" w:rsidRPr="00071135" w:rsidRDefault="00F354D9"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6,09</w:t>
                  </w:r>
                </w:p>
              </w:tc>
              <w:tc>
                <w:tcPr>
                  <w:tcW w:w="1276"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4,73</w:t>
                  </w:r>
                </w:p>
              </w:tc>
              <w:tc>
                <w:tcPr>
                  <w:tcW w:w="1134"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13,80</w:t>
                  </w:r>
                </w:p>
              </w:tc>
              <w:tc>
                <w:tcPr>
                  <w:tcW w:w="1127" w:type="dxa"/>
                  <w:tcMar>
                    <w:top w:w="0" w:type="dxa"/>
                    <w:left w:w="0" w:type="dxa"/>
                    <w:bottom w:w="0" w:type="dxa"/>
                    <w:right w:w="0" w:type="dxa"/>
                  </w:tcMar>
                  <w:vAlign w:val="center"/>
                  <w:hideMark/>
                </w:tcPr>
                <w:p w:rsidR="00C76505" w:rsidRPr="00071135" w:rsidRDefault="00C76505" w:rsidP="00F354D9">
                  <w:pPr>
                    <w:spacing w:after="0" w:line="240" w:lineRule="auto"/>
                    <w:jc w:val="both"/>
                    <w:rPr>
                      <w:rFonts w:ascii="Trebuchet MS" w:eastAsia="Times New Roman" w:hAnsi="Trebuchet MS" w:cstheme="minorHAnsi"/>
                      <w:noProof w:val="0"/>
                      <w:lang w:eastAsia="en-GB"/>
                    </w:rPr>
                  </w:pPr>
                  <w:r w:rsidRPr="00071135">
                    <w:rPr>
                      <w:rFonts w:ascii="Trebuchet MS" w:eastAsia="Times New Roman" w:hAnsi="Trebuchet MS" w:cstheme="minorHAnsi"/>
                      <w:noProof w:val="0"/>
                      <w:lang w:eastAsia="en-GB"/>
                    </w:rPr>
                    <w:t>32,36</w:t>
                  </w:r>
                </w:p>
              </w:tc>
            </w:tr>
          </w:tbl>
          <w:bookmarkEnd w:id="363"/>
          <w:p w:rsidR="0025394D" w:rsidRPr="00071135" w:rsidRDefault="0025394D" w:rsidP="00F354D9">
            <w:pPr>
              <w:pStyle w:val="BodyText"/>
              <w:rPr>
                <w:color w:val="auto"/>
              </w:rPr>
            </w:pPr>
            <w:r w:rsidRPr="00071135">
              <w:rPr>
                <w:color w:val="auto"/>
              </w:rPr>
              <w:t>Cuantumul plăților compensatorii diferă de la un subpachet la altul în funcție de elementele luate în calcul pentru costurile suplimentare și pierderile de venit pentru fiecare categorie de animale în parte. Detalierea modalității de calcul este prevăzută în metodologia de calcul a plăților compensatorii.</w:t>
            </w:r>
          </w:p>
          <w:p w:rsidR="004841A5" w:rsidRPr="00071135" w:rsidRDefault="004841A5" w:rsidP="00F354D9">
            <w:pPr>
              <w:keepNext/>
              <w:spacing w:before="120"/>
              <w:jc w:val="both"/>
              <w:rPr>
                <w:rFonts w:ascii="Trebuchet MS" w:eastAsia="Times New Roman" w:hAnsi="Trebuchet MS" w:cs="Times New Roman"/>
                <w:lang w:val="ro-RO" w:eastAsia="en-GB"/>
              </w:rPr>
            </w:pPr>
            <w:r w:rsidRPr="00071135">
              <w:rPr>
                <w:rFonts w:ascii="Trebuchet MS" w:eastAsia="Times New Roman" w:hAnsi="Trebuchet MS" w:cs="Times New Roman"/>
                <w:b/>
                <w:bCs/>
                <w:lang w:val="ro-RO" w:eastAsia="en-GB"/>
              </w:rPr>
              <w:t>Metoda de calcul</w:t>
            </w:r>
          </w:p>
          <w:p w:rsidR="003904BC" w:rsidRPr="00071135" w:rsidRDefault="00D528F4" w:rsidP="00F354D9">
            <w:pPr>
              <w:keepNext/>
              <w:spacing w:before="120"/>
              <w:jc w:val="both"/>
              <w:rPr>
                <w:rFonts w:ascii="Trebuchet MS" w:eastAsia="Times New Roman" w:hAnsi="Trebuchet MS" w:cs="Times New Roman"/>
                <w:lang w:val="ro-RO" w:eastAsia="en-GB"/>
              </w:rPr>
            </w:pPr>
            <w:r w:rsidRPr="00071135">
              <w:rPr>
                <w:rFonts w:ascii="Trebuchet MS" w:hAnsi="Trebuchet MS"/>
                <w:bCs/>
                <w:lang w:val="ro-RO"/>
              </w:rPr>
              <w:t xml:space="preserve">Caracterul adecvat și acuratețea calculelor din cadrul metodologiei de calcul a plăților compensatorii va fi certificată </w:t>
            </w:r>
            <w:r w:rsidR="0025394D" w:rsidRPr="00071135">
              <w:rPr>
                <w:rFonts w:ascii="Trebuchet MS" w:hAnsi="Trebuchet MS"/>
                <w:bCs/>
                <w:lang w:val="ro-RO"/>
              </w:rPr>
              <w:t>de către un organism independent conform prevederilor ar</w:t>
            </w:r>
            <w:r w:rsidR="00285B48" w:rsidRPr="00071135">
              <w:rPr>
                <w:rFonts w:ascii="Trebuchet MS" w:hAnsi="Trebuchet MS"/>
                <w:bCs/>
                <w:lang w:val="ro-RO"/>
              </w:rPr>
              <w:t>t. 82 al Regulamentului (UE) 2021</w:t>
            </w:r>
            <w:r w:rsidR="00A104D6" w:rsidRPr="00071135">
              <w:rPr>
                <w:rFonts w:ascii="Trebuchet MS" w:hAnsi="Trebuchet MS"/>
                <w:bCs/>
                <w:lang w:val="ro-RO"/>
              </w:rPr>
              <w:t>/2</w:t>
            </w:r>
            <w:r w:rsidR="00285B48" w:rsidRPr="00071135">
              <w:rPr>
                <w:rFonts w:ascii="Trebuchet MS" w:hAnsi="Trebuchet MS"/>
                <w:bCs/>
                <w:lang w:val="ro-RO"/>
              </w:rPr>
              <w:t>115</w:t>
            </w:r>
            <w:r w:rsidR="0025394D" w:rsidRPr="00071135">
              <w:rPr>
                <w:rFonts w:ascii="Trebuchet MS" w:hAnsi="Trebuchet MS"/>
                <w:bCs/>
                <w:lang w:val="ro-RO"/>
              </w:rPr>
              <w:t xml:space="preserve"> </w:t>
            </w:r>
            <w:r w:rsidR="00327753" w:rsidRPr="00071135">
              <w:rPr>
                <w:rFonts w:ascii="Trebuchet MS" w:hAnsi="Trebuchet MS"/>
                <w:bCs/>
                <w:lang w:val="ro-RO"/>
              </w:rPr>
              <w:t>de stabilire a normelor privind sprijinul pentru planurile strategice care urmează a fi elaborate de statele membre în cadrul politicii agricole comune (planurile strategice PAC)</w:t>
            </w:r>
            <w:r w:rsidR="0025394D" w:rsidRPr="00071135">
              <w:rPr>
                <w:rFonts w:ascii="Trebuchet MS" w:hAnsi="Trebuchet MS"/>
                <w:bCs/>
                <w:lang w:val="ro-RO"/>
              </w:rPr>
              <w:t>.</w:t>
            </w:r>
          </w:p>
          <w:p w:rsidR="00F354D9" w:rsidRPr="00071135" w:rsidRDefault="00F354D9" w:rsidP="00F354D9">
            <w:pPr>
              <w:keepNext/>
              <w:jc w:val="both"/>
              <w:rPr>
                <w:rFonts w:ascii="Trebuchet MS" w:hAnsi="Trebuchet MS"/>
                <w:bCs/>
                <w:lang w:val="ro-RO"/>
              </w:rPr>
            </w:pPr>
          </w:p>
          <w:p w:rsidR="00F354D9" w:rsidRPr="00071135" w:rsidRDefault="00F354D9" w:rsidP="00F354D9">
            <w:pPr>
              <w:keepNext/>
              <w:jc w:val="both"/>
              <w:rPr>
                <w:rFonts w:ascii="Trebuchet MS" w:hAnsi="Trebuchet MS"/>
                <w:b/>
                <w:i/>
                <w:iCs/>
                <w:lang w:val="ro-RO"/>
              </w:rPr>
            </w:pPr>
            <w:r w:rsidRPr="00071135">
              <w:rPr>
                <w:rFonts w:ascii="Trebuchet MS" w:hAnsi="Trebuchet MS"/>
                <w:b/>
                <w:i/>
                <w:iCs/>
                <w:lang w:val="ro-RO"/>
              </w:rPr>
              <w:t>Pachetul a) privind acordarea plăţilor în favoarea bunăstării porcinelor</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1a)</w:t>
            </w:r>
            <w:r w:rsidRPr="00071135">
              <w:rPr>
                <w:rFonts w:ascii="Trebuchet MS" w:eastAsia="Times New Roman" w:hAnsi="Trebuchet MS" w:cs="Arial"/>
                <w:noProof w:val="0"/>
                <w:lang w:val="ro-RO" w:eastAsia="ro-RO"/>
              </w:rPr>
              <w:t xml:space="preserve"> –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cu cel </w:t>
            </w:r>
            <w:proofErr w:type="spellStart"/>
            <w:r w:rsidRPr="00071135">
              <w:rPr>
                <w:rFonts w:ascii="Trebuchet MS" w:eastAsia="Times New Roman" w:hAnsi="Trebuchet MS" w:cs="Arial"/>
                <w:noProof w:val="0"/>
                <w:lang w:val="ro-RO" w:eastAsia="ro-RO"/>
              </w:rPr>
              <w:t>puţin</w:t>
            </w:r>
            <w:proofErr w:type="spellEnd"/>
            <w:r w:rsidRPr="00071135">
              <w:rPr>
                <w:rFonts w:ascii="Trebuchet MS" w:eastAsia="Times New Roman" w:hAnsi="Trebuchet MS" w:cs="Arial"/>
                <w:noProof w:val="0"/>
                <w:lang w:val="ro-RO" w:eastAsia="ro-RO"/>
              </w:rPr>
              <w:t xml:space="preserve"> 10% a </w:t>
            </w:r>
            <w:proofErr w:type="spellStart"/>
            <w:r w:rsidRPr="00071135">
              <w:rPr>
                <w:rFonts w:ascii="Trebuchet MS" w:eastAsia="Times New Roman" w:hAnsi="Trebuchet MS" w:cs="Arial"/>
                <w:noProof w:val="0"/>
                <w:lang w:val="ro-RO" w:eastAsia="ro-RO"/>
              </w:rPr>
              <w:t>spaţiului</w:t>
            </w:r>
            <w:proofErr w:type="spellEnd"/>
            <w:r w:rsidRPr="00071135">
              <w:rPr>
                <w:rFonts w:ascii="Trebuchet MS" w:eastAsia="Times New Roman" w:hAnsi="Trebuchet MS" w:cs="Arial"/>
                <w:noProof w:val="0"/>
                <w:lang w:val="ro-RO" w:eastAsia="ro-RO"/>
              </w:rPr>
              <w:t xml:space="preserve"> alocat disponibil fiecărui animal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w:t>
            </w: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2a)</w:t>
            </w:r>
            <w:r w:rsidRPr="00071135">
              <w:rPr>
                <w:rFonts w:ascii="Trebuchet MS" w:eastAsia="Times New Roman" w:hAnsi="Trebuchet MS" w:cs="Arial"/>
                <w:noProof w:val="0"/>
                <w:lang w:val="ro-RO" w:eastAsia="ro-RO"/>
              </w:rPr>
              <w:t xml:space="preserve"> -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cu cel </w:t>
            </w:r>
            <w:proofErr w:type="spellStart"/>
            <w:r w:rsidRPr="00071135">
              <w:rPr>
                <w:rFonts w:ascii="Trebuchet MS" w:eastAsia="Times New Roman" w:hAnsi="Trebuchet MS" w:cs="Arial"/>
                <w:noProof w:val="0"/>
                <w:lang w:val="ro-RO" w:eastAsia="ro-RO"/>
              </w:rPr>
              <w:t>puţin</w:t>
            </w:r>
            <w:proofErr w:type="spellEnd"/>
            <w:r w:rsidRPr="00071135">
              <w:rPr>
                <w:rFonts w:ascii="Trebuchet MS" w:eastAsia="Times New Roman" w:hAnsi="Trebuchet MS" w:cs="Arial"/>
                <w:noProof w:val="0"/>
                <w:lang w:val="ro-RO" w:eastAsia="ro-RO"/>
              </w:rPr>
              <w:t xml:space="preserve"> 15% a </w:t>
            </w:r>
            <w:proofErr w:type="spellStart"/>
            <w:r w:rsidRPr="00071135">
              <w:rPr>
                <w:rFonts w:ascii="Trebuchet MS" w:eastAsia="Times New Roman" w:hAnsi="Trebuchet MS" w:cs="Arial"/>
                <w:noProof w:val="0"/>
                <w:lang w:val="ro-RO" w:eastAsia="ro-RO"/>
              </w:rPr>
              <w:t>spaţiului</w:t>
            </w:r>
            <w:proofErr w:type="spellEnd"/>
            <w:r w:rsidRPr="00071135">
              <w:rPr>
                <w:rFonts w:ascii="Trebuchet MS" w:eastAsia="Times New Roman" w:hAnsi="Trebuchet MS" w:cs="Arial"/>
                <w:noProof w:val="0"/>
                <w:lang w:val="ro-RO" w:eastAsia="ro-RO"/>
              </w:rPr>
              <w:t xml:space="preserve"> alocat disponibil fiecărui animal</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Pierderile de venit prin reducerea numărului de animale se datorează scăderii cu 10%, respectiv cu 15%, a </w:t>
            </w:r>
            <w:proofErr w:type="spellStart"/>
            <w:r w:rsidRPr="00071135">
              <w:rPr>
                <w:rFonts w:ascii="Trebuchet MS" w:eastAsia="Times New Roman" w:hAnsi="Trebuchet MS" w:cs="Arial"/>
                <w:noProof w:val="0"/>
                <w:lang w:val="ro-RO" w:eastAsia="ro-RO"/>
              </w:rPr>
              <w:t>producţiei</w:t>
            </w:r>
            <w:proofErr w:type="spellEnd"/>
            <w:r w:rsidRPr="00071135">
              <w:rPr>
                <w:rFonts w:ascii="Trebuchet MS" w:eastAsia="Times New Roman" w:hAnsi="Trebuchet MS" w:cs="Arial"/>
                <w:noProof w:val="0"/>
                <w:lang w:val="ro-RO" w:eastAsia="ro-RO"/>
              </w:rPr>
              <w:t xml:space="preserve"> totale valorificate de porci </w:t>
            </w:r>
            <w:proofErr w:type="spellStart"/>
            <w:r w:rsidRPr="00071135">
              <w:rPr>
                <w:rFonts w:ascii="Trebuchet MS" w:eastAsia="Times New Roman" w:hAnsi="Trebuchet MS" w:cs="Arial"/>
                <w:noProof w:val="0"/>
                <w:lang w:val="ro-RO" w:eastAsia="ro-RO"/>
              </w:rPr>
              <w:t>graşi</w:t>
            </w:r>
            <w:proofErr w:type="spellEnd"/>
            <w:r w:rsidRPr="00071135">
              <w:rPr>
                <w:rFonts w:ascii="Trebuchet MS" w:eastAsia="Times New Roman" w:hAnsi="Trebuchet MS" w:cs="Arial"/>
                <w:noProof w:val="0"/>
                <w:lang w:val="ro-RO" w:eastAsia="ro-RO"/>
              </w:rPr>
              <w:t xml:space="preserve">, purcei (în cazul scroafelor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noProof w:val="0"/>
                <w:lang w:val="ro-RO" w:eastAsia="ro-RO"/>
              </w:rPr>
              <w:t>scrofiţelor</w:t>
            </w:r>
            <w:proofErr w:type="spellEnd"/>
            <w:r w:rsidRPr="00071135">
              <w:rPr>
                <w:rFonts w:ascii="Trebuchet MS" w:eastAsia="Times New Roman" w:hAnsi="Trebuchet MS" w:cs="Arial"/>
                <w:noProof w:val="0"/>
                <w:lang w:val="ro-RO" w:eastAsia="ro-RO"/>
              </w:rPr>
              <w:t xml:space="preserve"> pentru </w:t>
            </w:r>
            <w:proofErr w:type="spellStart"/>
            <w:r w:rsidRPr="00071135">
              <w:rPr>
                <w:rFonts w:ascii="Trebuchet MS" w:eastAsia="Times New Roman" w:hAnsi="Trebuchet MS" w:cs="Arial"/>
                <w:noProof w:val="0"/>
                <w:lang w:val="ro-RO" w:eastAsia="ro-RO"/>
              </w:rPr>
              <w:t>reproducţie</w:t>
            </w:r>
            <w:proofErr w:type="spellEnd"/>
            <w:r w:rsidRPr="00071135">
              <w:rPr>
                <w:rFonts w:ascii="Trebuchet MS" w:eastAsia="Times New Roman" w:hAnsi="Trebuchet MS" w:cs="Arial"/>
                <w:noProof w:val="0"/>
                <w:lang w:val="ro-RO" w:eastAsia="ro-RO"/>
              </w:rPr>
              <w:t xml:space="preserve">). Economiile realizate în cadrul acestui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provin din reducerea consumului de furaje, din  achiziția unui număr mai mic de purcei pentru ambele categorii, reducerea consumului cu medicamentele, reducerea cantității de material absorbant administrat pe pardoseală și din reducerea costurilor cu utilitățile (costul cu energia electrică pentru furajarea </w:t>
            </w:r>
            <w:r w:rsidRPr="00071135">
              <w:rPr>
                <w:rFonts w:ascii="Trebuchet MS" w:eastAsia="Times New Roman" w:hAnsi="Trebuchet MS" w:cs="Arial"/>
                <w:noProof w:val="0"/>
                <w:lang w:val="ro-RO" w:eastAsia="ro-RO"/>
              </w:rPr>
              <w:lastRenderedPageBreak/>
              <w:t>porcilor, costul cu alimentarea cu apă, costul cu transportul și împrăștierea dejecțiilor, iar în cazul animalelor de reproducție femele au fost luate în calcul și economia cu furajul și medicamentele pentru purceii neproduși).</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Din motivele expuse la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3a), în cazul aplicării independente a </w:t>
            </w:r>
            <w:proofErr w:type="spellStart"/>
            <w:r w:rsidRPr="00071135">
              <w:rPr>
                <w:rFonts w:ascii="Trebuchet MS" w:eastAsia="Times New Roman" w:hAnsi="Trebuchet MS" w:cs="Arial"/>
                <w:noProof w:val="0"/>
                <w:lang w:val="ro-RO" w:eastAsia="ro-RO"/>
              </w:rPr>
              <w:t>subpachetelor</w:t>
            </w:r>
            <w:proofErr w:type="spellEnd"/>
            <w:r w:rsidRPr="00071135">
              <w:rPr>
                <w:rFonts w:ascii="Trebuchet MS" w:eastAsia="Times New Roman" w:hAnsi="Trebuchet MS" w:cs="Arial"/>
                <w:noProof w:val="0"/>
                <w:lang w:val="ro-RO" w:eastAsia="ro-RO"/>
              </w:rPr>
              <w:t xml:space="preserve"> 1a) sau 2a), din valoarea </w:t>
            </w:r>
            <w:proofErr w:type="spellStart"/>
            <w:r w:rsidRPr="00071135">
              <w:rPr>
                <w:rFonts w:ascii="Trebuchet MS" w:eastAsia="Times New Roman" w:hAnsi="Trebuchet MS" w:cs="Arial"/>
                <w:noProof w:val="0"/>
                <w:lang w:val="ro-RO" w:eastAsia="ro-RO"/>
              </w:rPr>
              <w:t>plăţii</w:t>
            </w:r>
            <w:proofErr w:type="spellEnd"/>
            <w:r w:rsidRPr="00071135">
              <w:rPr>
                <w:rFonts w:ascii="Trebuchet MS" w:eastAsia="Times New Roman" w:hAnsi="Trebuchet MS" w:cs="Arial"/>
                <w:noProof w:val="0"/>
                <w:lang w:val="ro-RO" w:eastAsia="ro-RO"/>
              </w:rPr>
              <w:t xml:space="preserve"> rezultată pentru </w:t>
            </w:r>
            <w:proofErr w:type="spellStart"/>
            <w:r w:rsidRPr="00071135">
              <w:rPr>
                <w:rFonts w:ascii="Trebuchet MS" w:eastAsia="Times New Roman" w:hAnsi="Trebuchet MS" w:cs="Arial"/>
                <w:noProof w:val="0"/>
                <w:lang w:val="ro-RO" w:eastAsia="ro-RO"/>
              </w:rPr>
              <w:t>subpachetele</w:t>
            </w:r>
            <w:proofErr w:type="spellEnd"/>
            <w:r w:rsidRPr="00071135">
              <w:rPr>
                <w:rFonts w:ascii="Trebuchet MS" w:eastAsia="Times New Roman" w:hAnsi="Trebuchet MS" w:cs="Arial"/>
                <w:noProof w:val="0"/>
                <w:lang w:val="ro-RO" w:eastAsia="ro-RO"/>
              </w:rPr>
              <w:t xml:space="preserve"> de densitate a fost dedusă o sumă echivalentă cu economia estimată pentru consumul de energie utilizată pentru </w:t>
            </w:r>
            <w:proofErr w:type="spellStart"/>
            <w:r w:rsidRPr="00071135">
              <w:rPr>
                <w:rFonts w:ascii="Trebuchet MS" w:eastAsia="Times New Roman" w:hAnsi="Trebuchet MS" w:cs="Arial"/>
                <w:noProof w:val="0"/>
                <w:lang w:val="ro-RO" w:eastAsia="ro-RO"/>
              </w:rPr>
              <w:t>ventilaţie</w:t>
            </w:r>
            <w:proofErr w:type="spellEnd"/>
            <w:r w:rsidRPr="00071135">
              <w:rPr>
                <w:rFonts w:ascii="Trebuchet MS" w:eastAsia="Times New Roman" w:hAnsi="Trebuchet MS" w:cs="Arial"/>
                <w:noProof w:val="0"/>
                <w:lang w:val="ro-RO" w:eastAsia="ro-RO"/>
              </w:rPr>
              <w:t>:</w:t>
            </w:r>
          </w:p>
          <w:p w:rsidR="00F354D9" w:rsidRPr="00071135" w:rsidRDefault="00F354D9" w:rsidP="00F354D9">
            <w:pPr>
              <w:numPr>
                <w:ilvl w:val="0"/>
                <w:numId w:val="46"/>
              </w:num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3% din plata integrală rezultată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3a se deduce din plata calculată pentru 1a,</w:t>
            </w:r>
          </w:p>
          <w:p w:rsidR="00F354D9" w:rsidRPr="00071135" w:rsidRDefault="00F354D9" w:rsidP="00F354D9">
            <w:pPr>
              <w:numPr>
                <w:ilvl w:val="0"/>
                <w:numId w:val="46"/>
              </w:num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4,5% din plata integrală rezultată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3a se deduce din plata calculată pentru 2a.</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3a)</w:t>
            </w:r>
            <w:r w:rsidR="007B58B5" w:rsidRPr="00071135">
              <w:rPr>
                <w:rFonts w:ascii="Trebuchet MS" w:eastAsia="Times New Roman" w:hAnsi="Trebuchet MS" w:cs="Arial"/>
                <w:noProof w:val="0"/>
                <w:lang w:val="ro-RO" w:eastAsia="ro-RO"/>
              </w:rPr>
              <w:t xml:space="preserve"> </w:t>
            </w:r>
            <w:r w:rsidRPr="00071135">
              <w:rPr>
                <w:rFonts w:ascii="Trebuchet MS" w:eastAsia="Times New Roman" w:hAnsi="Trebuchet MS" w:cs="Arial"/>
                <w:noProof w:val="0"/>
                <w:lang w:val="ro-RO" w:eastAsia="ro-RO"/>
              </w:rPr>
              <w:t>- reducerea pulberilor cu 30% față de nivelul minim obligatoriu prin menținerea în limite optime a parametrilor de microclimat</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Cheltuielile suplimentare</w:t>
            </w:r>
            <w:r w:rsidR="007B58B5" w:rsidRPr="00071135">
              <w:rPr>
                <w:rFonts w:ascii="Trebuchet MS" w:eastAsia="Times New Roman" w:hAnsi="Trebuchet MS" w:cs="Arial"/>
                <w:noProof w:val="0"/>
                <w:lang w:val="ro-RO" w:eastAsia="ro-RO"/>
              </w:rPr>
              <w:t xml:space="preserve"> </w:t>
            </w:r>
            <w:r w:rsidRPr="00071135">
              <w:rPr>
                <w:rFonts w:ascii="Trebuchet MS" w:eastAsia="Times New Roman" w:hAnsi="Trebuchet MS" w:cs="Arial"/>
                <w:noProof w:val="0"/>
                <w:lang w:val="ro-RO" w:eastAsia="ro-RO"/>
              </w:rPr>
              <w:t xml:space="preserve">realizate ca urmare a aplicării </w:t>
            </w:r>
            <w:proofErr w:type="spellStart"/>
            <w:r w:rsidRPr="00071135">
              <w:rPr>
                <w:rFonts w:ascii="Trebuchet MS" w:eastAsia="Times New Roman" w:hAnsi="Trebuchet MS" w:cs="Arial"/>
                <w:noProof w:val="0"/>
                <w:lang w:val="ro-RO" w:eastAsia="ro-RO"/>
              </w:rPr>
              <w:t>subpachetului</w:t>
            </w:r>
            <w:proofErr w:type="spellEnd"/>
            <w:r w:rsidRPr="00071135">
              <w:rPr>
                <w:rFonts w:ascii="Trebuchet MS" w:eastAsia="Times New Roman" w:hAnsi="Trebuchet MS" w:cs="Arial"/>
                <w:noProof w:val="0"/>
                <w:lang w:val="ro-RO" w:eastAsia="ro-RO"/>
              </w:rPr>
              <w:t xml:space="preserve"> provin din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cheltuielilor cu consumul suplimentar de energie electrică,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cheltuielilor ca urmare a monitorizării noxelor din hale (prin efectuarea a minim 1 analiză pe an de către laboratoare independente).</w:t>
            </w:r>
            <w:r w:rsidR="007B58B5"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noProof w:val="0"/>
                <w:lang w:val="ro-RO" w:eastAsia="ro-RO"/>
              </w:rPr>
              <w:t>Totuşi</w:t>
            </w:r>
            <w:proofErr w:type="spellEnd"/>
            <w:r w:rsidRPr="00071135">
              <w:rPr>
                <w:rFonts w:ascii="Trebuchet MS" w:eastAsia="Times New Roman" w:hAnsi="Trebuchet MS" w:cs="Arial"/>
                <w:noProof w:val="0"/>
                <w:lang w:val="ro-RO" w:eastAsia="ro-RO"/>
              </w:rPr>
              <w:t xml:space="preserve">, în cazul aplicării acestui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împreună cu unul din </w:t>
            </w:r>
            <w:proofErr w:type="spellStart"/>
            <w:r w:rsidRPr="00071135">
              <w:rPr>
                <w:rFonts w:ascii="Trebuchet MS" w:eastAsia="Times New Roman" w:hAnsi="Trebuchet MS" w:cs="Arial"/>
                <w:noProof w:val="0"/>
                <w:lang w:val="ro-RO" w:eastAsia="ro-RO"/>
              </w:rPr>
              <w:t>subpachetele</w:t>
            </w:r>
            <w:proofErr w:type="spellEnd"/>
            <w:r w:rsidRPr="00071135">
              <w:rPr>
                <w:rFonts w:ascii="Trebuchet MS" w:eastAsia="Times New Roman" w:hAnsi="Trebuchet MS" w:cs="Arial"/>
                <w:noProof w:val="0"/>
                <w:lang w:val="ro-RO" w:eastAsia="ro-RO"/>
              </w:rPr>
              <w:t xml:space="preserve"> de reducere a </w:t>
            </w:r>
            <w:proofErr w:type="spellStart"/>
            <w:r w:rsidRPr="00071135">
              <w:rPr>
                <w:rFonts w:ascii="Trebuchet MS" w:eastAsia="Times New Roman" w:hAnsi="Trebuchet MS" w:cs="Arial"/>
                <w:noProof w:val="0"/>
                <w:lang w:val="ro-RO" w:eastAsia="ro-RO"/>
              </w:rPr>
              <w:t>densităţii</w:t>
            </w:r>
            <w:proofErr w:type="spellEnd"/>
            <w:r w:rsidRPr="00071135">
              <w:rPr>
                <w:rFonts w:ascii="Trebuchet MS" w:eastAsia="Times New Roman" w:hAnsi="Trebuchet MS" w:cs="Arial"/>
                <w:noProof w:val="0"/>
                <w:lang w:val="ro-RO" w:eastAsia="ro-RO"/>
              </w:rPr>
              <w:t xml:space="preserve">, efortul estimat a se realiza pentru atingerea indicatorului superior de bunăstare este mai redus decât în cazul aplicării independente, pe fondul faptului că consumul suplimentar de energie cu </w:t>
            </w:r>
            <w:proofErr w:type="spellStart"/>
            <w:r w:rsidRPr="00071135">
              <w:rPr>
                <w:rFonts w:ascii="Trebuchet MS" w:eastAsia="Times New Roman" w:hAnsi="Trebuchet MS" w:cs="Arial"/>
                <w:noProof w:val="0"/>
                <w:lang w:val="ro-RO" w:eastAsia="ro-RO"/>
              </w:rPr>
              <w:t>ventilaţia</w:t>
            </w:r>
            <w:proofErr w:type="spellEnd"/>
            <w:r w:rsidRPr="00071135">
              <w:rPr>
                <w:rFonts w:ascii="Trebuchet MS" w:eastAsia="Times New Roman" w:hAnsi="Trebuchet MS" w:cs="Arial"/>
                <w:noProof w:val="0"/>
                <w:lang w:val="ro-RO" w:eastAsia="ro-RO"/>
              </w:rPr>
              <w:t xml:space="preserve"> reprezintă un cost variabil, fiind </w:t>
            </w:r>
            <w:proofErr w:type="spellStart"/>
            <w:r w:rsidRPr="00071135">
              <w:rPr>
                <w:rFonts w:ascii="Trebuchet MS" w:eastAsia="Times New Roman" w:hAnsi="Trebuchet MS" w:cs="Arial"/>
                <w:noProof w:val="0"/>
                <w:lang w:val="ro-RO" w:eastAsia="ro-RO"/>
              </w:rPr>
              <w:t>influenţat</w:t>
            </w:r>
            <w:proofErr w:type="spellEnd"/>
            <w:r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de numărul de animale, pe lângă </w:t>
            </w:r>
            <w:proofErr w:type="spellStart"/>
            <w:r w:rsidRPr="00071135">
              <w:rPr>
                <w:rFonts w:ascii="Trebuchet MS" w:eastAsia="Times New Roman" w:hAnsi="Trebuchet MS" w:cs="Arial"/>
                <w:noProof w:val="0"/>
                <w:lang w:val="ro-RO" w:eastAsia="ro-RO"/>
              </w:rPr>
              <w:t>ceilalţi</w:t>
            </w:r>
            <w:proofErr w:type="spellEnd"/>
            <w:r w:rsidRPr="00071135">
              <w:rPr>
                <w:rFonts w:ascii="Trebuchet MS" w:eastAsia="Times New Roman" w:hAnsi="Trebuchet MS" w:cs="Arial"/>
                <w:noProof w:val="0"/>
                <w:lang w:val="ro-RO" w:eastAsia="ro-RO"/>
              </w:rPr>
              <w:t xml:space="preserve"> factori (tipul de </w:t>
            </w:r>
            <w:proofErr w:type="spellStart"/>
            <w:r w:rsidRPr="00071135">
              <w:rPr>
                <w:rFonts w:ascii="Trebuchet MS" w:eastAsia="Times New Roman" w:hAnsi="Trebuchet MS" w:cs="Arial"/>
                <w:noProof w:val="0"/>
                <w:lang w:val="ro-RO" w:eastAsia="ro-RO"/>
              </w:rPr>
              <w:t>aşternut</w:t>
            </w:r>
            <w:proofErr w:type="spellEnd"/>
            <w:r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tipul de podea din hale, umiditate, viteza </w:t>
            </w:r>
            <w:proofErr w:type="spellStart"/>
            <w:r w:rsidRPr="00071135">
              <w:rPr>
                <w:rFonts w:ascii="Trebuchet MS" w:eastAsia="Times New Roman" w:hAnsi="Trebuchet MS" w:cs="Arial"/>
                <w:noProof w:val="0"/>
                <w:lang w:val="ro-RO" w:eastAsia="ro-RO"/>
              </w:rPr>
              <w:t>curenţilor</w:t>
            </w:r>
            <w:proofErr w:type="spellEnd"/>
            <w:r w:rsidRPr="00071135">
              <w:rPr>
                <w:rFonts w:ascii="Trebuchet MS" w:eastAsia="Times New Roman" w:hAnsi="Trebuchet MS" w:cs="Arial"/>
                <w:noProof w:val="0"/>
                <w:lang w:val="ro-RO" w:eastAsia="ro-RO"/>
              </w:rPr>
              <w:t xml:space="preserve"> de aer, </w:t>
            </w:r>
            <w:proofErr w:type="spellStart"/>
            <w:r w:rsidRPr="00071135">
              <w:rPr>
                <w:rFonts w:ascii="Trebuchet MS" w:eastAsia="Times New Roman" w:hAnsi="Trebuchet MS" w:cs="Arial"/>
                <w:noProof w:val="0"/>
                <w:lang w:val="ro-RO" w:eastAsia="ro-RO"/>
              </w:rPr>
              <w:t>condiţiile</w:t>
            </w:r>
            <w:proofErr w:type="spellEnd"/>
            <w:r w:rsidRPr="00071135">
              <w:rPr>
                <w:rFonts w:ascii="Trebuchet MS" w:eastAsia="Times New Roman" w:hAnsi="Trebuchet MS" w:cs="Arial"/>
                <w:noProof w:val="0"/>
                <w:lang w:val="ro-RO" w:eastAsia="ro-RO"/>
              </w:rPr>
              <w:t xml:space="preserve"> de mediu locale, etc.). Nu există o </w:t>
            </w:r>
            <w:proofErr w:type="spellStart"/>
            <w:r w:rsidRPr="00071135">
              <w:rPr>
                <w:rFonts w:ascii="Trebuchet MS" w:eastAsia="Times New Roman" w:hAnsi="Trebuchet MS" w:cs="Arial"/>
                <w:noProof w:val="0"/>
                <w:lang w:val="ro-RO" w:eastAsia="ro-RO"/>
              </w:rPr>
              <w:t>relaţie</w:t>
            </w:r>
            <w:proofErr w:type="spellEnd"/>
            <w:r w:rsidRPr="00071135">
              <w:rPr>
                <w:rFonts w:ascii="Trebuchet MS" w:eastAsia="Times New Roman" w:hAnsi="Trebuchet MS" w:cs="Arial"/>
                <w:noProof w:val="0"/>
                <w:lang w:val="ro-RO" w:eastAsia="ro-RO"/>
              </w:rPr>
              <w:t xml:space="preserve"> de </w:t>
            </w:r>
            <w:proofErr w:type="spellStart"/>
            <w:r w:rsidRPr="00071135">
              <w:rPr>
                <w:rFonts w:ascii="Trebuchet MS" w:eastAsia="Times New Roman" w:hAnsi="Trebuchet MS" w:cs="Arial"/>
                <w:noProof w:val="0"/>
                <w:lang w:val="ro-RO" w:eastAsia="ro-RO"/>
              </w:rPr>
              <w:t>proporţionalitate</w:t>
            </w:r>
            <w:proofErr w:type="spellEnd"/>
            <w:r w:rsidRPr="00071135">
              <w:rPr>
                <w:rFonts w:ascii="Trebuchet MS" w:eastAsia="Times New Roman" w:hAnsi="Trebuchet MS" w:cs="Arial"/>
                <w:noProof w:val="0"/>
                <w:lang w:val="ro-RO" w:eastAsia="ro-RO"/>
              </w:rPr>
              <w:t xml:space="preserve"> liniară între numărul de animale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nivelul pulberilor din hale. Cu scopul evitării </w:t>
            </w:r>
            <w:proofErr w:type="spellStart"/>
            <w:r w:rsidRPr="00071135">
              <w:rPr>
                <w:rFonts w:ascii="Trebuchet MS" w:eastAsia="Times New Roman" w:hAnsi="Trebuchet MS" w:cs="Arial"/>
                <w:noProof w:val="0"/>
                <w:lang w:val="ro-RO" w:eastAsia="ro-RO"/>
              </w:rPr>
              <w:t>supracompensării</w:t>
            </w:r>
            <w:proofErr w:type="spellEnd"/>
            <w:r w:rsidRPr="00071135">
              <w:rPr>
                <w:rFonts w:ascii="Trebuchet MS" w:eastAsia="Times New Roman" w:hAnsi="Trebuchet MS" w:cs="Arial"/>
                <w:noProof w:val="0"/>
                <w:lang w:val="ro-RO" w:eastAsia="ro-RO"/>
              </w:rPr>
              <w:t xml:space="preserve"> beneficiarilor care vor aplica acest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în </w:t>
            </w:r>
            <w:proofErr w:type="spellStart"/>
            <w:r w:rsidRPr="00071135">
              <w:rPr>
                <w:rFonts w:ascii="Trebuchet MS" w:eastAsia="Times New Roman" w:hAnsi="Trebuchet MS" w:cs="Arial"/>
                <w:noProof w:val="0"/>
                <w:lang w:val="ro-RO" w:eastAsia="ro-RO"/>
              </w:rPr>
              <w:t>funcţie</w:t>
            </w:r>
            <w:proofErr w:type="spellEnd"/>
            <w:r w:rsidRPr="00071135">
              <w:rPr>
                <w:rFonts w:ascii="Trebuchet MS" w:eastAsia="Times New Roman" w:hAnsi="Trebuchet MS" w:cs="Arial"/>
                <w:noProof w:val="0"/>
                <w:lang w:val="ro-RO" w:eastAsia="ro-RO"/>
              </w:rPr>
              <w:t xml:space="preserve"> de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de densitate care se aplică, se propune o reducere a nivelului </w:t>
            </w:r>
            <w:proofErr w:type="spellStart"/>
            <w:r w:rsidRPr="00071135">
              <w:rPr>
                <w:rFonts w:ascii="Trebuchet MS" w:eastAsia="Times New Roman" w:hAnsi="Trebuchet MS" w:cs="Arial"/>
                <w:noProof w:val="0"/>
                <w:lang w:val="ro-RO" w:eastAsia="ro-RO"/>
              </w:rPr>
              <w:t>plăţii</w:t>
            </w:r>
            <w:proofErr w:type="spellEnd"/>
            <w:r w:rsidRPr="00071135">
              <w:rPr>
                <w:rFonts w:ascii="Trebuchet MS" w:eastAsia="Times New Roman" w:hAnsi="Trebuchet MS" w:cs="Arial"/>
                <w:noProof w:val="0"/>
                <w:lang w:val="ro-RO" w:eastAsia="ro-RO"/>
              </w:rPr>
              <w:t xml:space="preserve">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3a) cu 3% în cazul aplicării împreună cu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1a)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de 4,5% în cazul aplicării împreună cu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2a).</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4a)</w:t>
            </w:r>
            <w:r w:rsidR="007B58B5" w:rsidRPr="00071135">
              <w:rPr>
                <w:rFonts w:ascii="Trebuchet MS" w:eastAsia="Times New Roman" w:hAnsi="Trebuchet MS" w:cs="Arial"/>
                <w:noProof w:val="0"/>
                <w:lang w:val="ro-RO" w:eastAsia="ro-RO"/>
              </w:rPr>
              <w:t xml:space="preserve"> </w:t>
            </w:r>
            <w:r w:rsidRPr="00071135">
              <w:rPr>
                <w:rFonts w:ascii="Trebuchet MS" w:eastAsia="Times New Roman" w:hAnsi="Trebuchet MS" w:cs="Arial"/>
                <w:noProof w:val="0"/>
                <w:lang w:val="ro-RO" w:eastAsia="ro-RO"/>
              </w:rPr>
              <w:t>- îmbunătățirea condițiilor zonei de odihnă</w:t>
            </w:r>
          </w:p>
          <w:p w:rsidR="00F354D9" w:rsidRPr="00071135" w:rsidRDefault="00F354D9" w:rsidP="00F354D9">
            <w:pPr>
              <w:shd w:val="clear" w:color="auto" w:fill="FFFFFF"/>
              <w:spacing w:before="100" w:beforeAutospacing="1" w:after="100" w:afterAutospacing="1"/>
              <w:jc w:val="both"/>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Cheltuielile suplimentare</w:t>
            </w:r>
            <w:r w:rsidR="007B58B5" w:rsidRPr="00071135">
              <w:rPr>
                <w:rFonts w:ascii="Trebuchet MS" w:eastAsia="Times New Roman" w:hAnsi="Trebuchet MS" w:cs="Arial"/>
                <w:noProof w:val="0"/>
                <w:lang w:val="ro-RO" w:eastAsia="ro-RO"/>
              </w:rPr>
              <w:t xml:space="preserve"> </w:t>
            </w:r>
            <w:r w:rsidRPr="00071135">
              <w:rPr>
                <w:rFonts w:ascii="Trebuchet MS" w:eastAsia="Times New Roman" w:hAnsi="Trebuchet MS" w:cs="Arial"/>
                <w:noProof w:val="0"/>
                <w:lang w:val="ro-RO" w:eastAsia="ro-RO"/>
              </w:rPr>
              <w:t xml:space="preserve">realizate ca urmare a aplicării </w:t>
            </w:r>
            <w:proofErr w:type="spellStart"/>
            <w:r w:rsidRPr="00071135">
              <w:rPr>
                <w:rFonts w:ascii="Trebuchet MS" w:eastAsia="Times New Roman" w:hAnsi="Trebuchet MS" w:cs="Arial"/>
                <w:noProof w:val="0"/>
                <w:lang w:val="ro-RO" w:eastAsia="ro-RO"/>
              </w:rPr>
              <w:t>subpachetului</w:t>
            </w:r>
            <w:proofErr w:type="spellEnd"/>
            <w:r w:rsidRPr="00071135">
              <w:rPr>
                <w:rFonts w:ascii="Trebuchet MS" w:eastAsia="Times New Roman" w:hAnsi="Trebuchet MS" w:cs="Arial"/>
                <w:noProof w:val="0"/>
                <w:lang w:val="ro-RO" w:eastAsia="ro-RO"/>
              </w:rPr>
              <w:t xml:space="preserve"> provin din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cheltuielilor cu achiziționarea materialelor higroscopice ca urmare a utilizării acestora pe întreaga </w:t>
            </w:r>
            <w:proofErr w:type="spellStart"/>
            <w:r w:rsidRPr="00071135">
              <w:rPr>
                <w:rFonts w:ascii="Trebuchet MS" w:eastAsia="Times New Roman" w:hAnsi="Trebuchet MS" w:cs="Arial"/>
                <w:noProof w:val="0"/>
                <w:lang w:val="ro-RO" w:eastAsia="ro-RO"/>
              </w:rPr>
              <w:t>suprafaţă</w:t>
            </w:r>
            <w:proofErr w:type="spellEnd"/>
            <w:r w:rsidRPr="00071135">
              <w:rPr>
                <w:rFonts w:ascii="Trebuchet MS" w:eastAsia="Times New Roman" w:hAnsi="Trebuchet MS" w:cs="Arial"/>
                <w:noProof w:val="0"/>
                <w:lang w:val="ro-RO" w:eastAsia="ro-RO"/>
              </w:rPr>
              <w:t xml:space="preserve"> a boxei și cu </w:t>
            </w:r>
            <w:proofErr w:type="spellStart"/>
            <w:r w:rsidRPr="00071135">
              <w:rPr>
                <w:rFonts w:ascii="Trebuchet MS" w:eastAsia="Times New Roman" w:hAnsi="Trebuchet MS" w:cs="Arial"/>
                <w:noProof w:val="0"/>
                <w:lang w:val="ro-RO" w:eastAsia="ro-RO"/>
              </w:rPr>
              <w:t>frecvenţă</w:t>
            </w:r>
            <w:proofErr w:type="spellEnd"/>
            <w:r w:rsidRPr="00071135">
              <w:rPr>
                <w:rFonts w:ascii="Trebuchet MS" w:eastAsia="Times New Roman" w:hAnsi="Trebuchet MS" w:cs="Arial"/>
                <w:noProof w:val="0"/>
                <w:lang w:val="ro-RO" w:eastAsia="ro-RO"/>
              </w:rPr>
              <w:t xml:space="preserve"> crescută.</w:t>
            </w:r>
          </w:p>
          <w:p w:rsidR="00F354D9" w:rsidRPr="00071135" w:rsidRDefault="00F354D9" w:rsidP="00F354D9">
            <w:pPr>
              <w:keepNext/>
              <w:jc w:val="both"/>
              <w:rPr>
                <w:rFonts w:ascii="Trebuchet MS" w:hAnsi="Trebuchet MS"/>
                <w:b/>
                <w:i/>
                <w:iCs/>
                <w:lang w:val="ro-RO"/>
              </w:rPr>
            </w:pPr>
            <w:r w:rsidRPr="00071135">
              <w:rPr>
                <w:rFonts w:ascii="Trebuchet MS" w:hAnsi="Trebuchet MS"/>
                <w:b/>
                <w:i/>
                <w:iCs/>
                <w:lang w:val="ro-RO"/>
              </w:rPr>
              <w:t>Pachetul b) privind acordarea plăţilor în favoarea bunăstării păsărilor</w:t>
            </w:r>
          </w:p>
          <w:p w:rsidR="007B58B5" w:rsidRPr="00071135" w:rsidRDefault="007B58B5" w:rsidP="007B58B5">
            <w:pPr>
              <w:shd w:val="clear" w:color="auto" w:fill="FFFFFF"/>
              <w:spacing w:before="100" w:beforeAutospacing="1" w:after="100" w:afterAutospacing="1"/>
              <w:rPr>
                <w:rFonts w:ascii="Trebuchet MS" w:eastAsia="Times New Roman" w:hAnsi="Trebuchet MS" w:cs="Arial"/>
                <w:noProof w:val="0"/>
                <w:lang w:val="ro-RO" w:eastAsia="ro-RO"/>
              </w:rPr>
            </w:pP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1b)</w:t>
            </w:r>
            <w:r w:rsidRPr="00071135">
              <w:rPr>
                <w:rFonts w:ascii="Trebuchet MS" w:eastAsia="Times New Roman" w:hAnsi="Trebuchet MS" w:cs="Arial"/>
                <w:noProof w:val="0"/>
                <w:lang w:val="ro-RO" w:eastAsia="ro-RO"/>
              </w:rPr>
              <w:t xml:space="preserve"> - reducerea </w:t>
            </w:r>
            <w:proofErr w:type="spellStart"/>
            <w:r w:rsidRPr="00071135">
              <w:rPr>
                <w:rFonts w:ascii="Trebuchet MS" w:eastAsia="Times New Roman" w:hAnsi="Trebuchet MS" w:cs="Arial"/>
                <w:noProof w:val="0"/>
                <w:lang w:val="ro-RO" w:eastAsia="ro-RO"/>
              </w:rPr>
              <w:t>densitatii</w:t>
            </w:r>
            <w:proofErr w:type="spellEnd"/>
            <w:r w:rsidRPr="00071135">
              <w:rPr>
                <w:rFonts w:ascii="Trebuchet MS" w:eastAsia="Times New Roman" w:hAnsi="Trebuchet MS" w:cs="Arial"/>
                <w:noProof w:val="0"/>
                <w:lang w:val="ro-RO" w:eastAsia="ro-RO"/>
              </w:rPr>
              <w:t xml:space="preserve"> păsărilor cu 10% fata de densitatea rezultata din aplicarea </w:t>
            </w:r>
            <w:proofErr w:type="spellStart"/>
            <w:r w:rsidRPr="00071135">
              <w:rPr>
                <w:rFonts w:ascii="Trebuchet MS" w:eastAsia="Times New Roman" w:hAnsi="Trebuchet MS" w:cs="Arial"/>
                <w:noProof w:val="0"/>
                <w:lang w:val="ro-RO" w:eastAsia="ro-RO"/>
              </w:rPr>
              <w:t>cerintelor</w:t>
            </w:r>
            <w:proofErr w:type="spellEnd"/>
            <w:r w:rsidRPr="00071135">
              <w:rPr>
                <w:rFonts w:ascii="Trebuchet MS" w:eastAsia="Times New Roman" w:hAnsi="Trebuchet MS" w:cs="Arial"/>
                <w:noProof w:val="0"/>
                <w:lang w:val="ro-RO" w:eastAsia="ro-RO"/>
              </w:rPr>
              <w:t xml:space="preserve"> minime obligatorii privind </w:t>
            </w:r>
            <w:proofErr w:type="spellStart"/>
            <w:r w:rsidRPr="00071135">
              <w:rPr>
                <w:rFonts w:ascii="Trebuchet MS" w:eastAsia="Times New Roman" w:hAnsi="Trebuchet MS" w:cs="Arial"/>
                <w:noProof w:val="0"/>
                <w:lang w:val="ro-RO" w:eastAsia="ro-RO"/>
              </w:rPr>
              <w:t>suprafata</w:t>
            </w:r>
            <w:proofErr w:type="spellEnd"/>
            <w:r w:rsidRPr="00071135">
              <w:rPr>
                <w:rFonts w:ascii="Trebuchet MS" w:eastAsia="Times New Roman" w:hAnsi="Trebuchet MS" w:cs="Arial"/>
                <w:noProof w:val="0"/>
                <w:lang w:val="ro-RO" w:eastAsia="ro-RO"/>
              </w:rPr>
              <w:t xml:space="preserve"> minima alocata pentru fiecare categorie de păsări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2b)</w:t>
            </w:r>
            <w:r w:rsidRPr="00071135">
              <w:rPr>
                <w:rFonts w:ascii="Trebuchet MS" w:eastAsia="Times New Roman" w:hAnsi="Trebuchet MS" w:cs="Arial"/>
                <w:noProof w:val="0"/>
                <w:lang w:val="ro-RO" w:eastAsia="ro-RO"/>
              </w:rPr>
              <w:t xml:space="preserve"> - reducerea </w:t>
            </w:r>
            <w:proofErr w:type="spellStart"/>
            <w:r w:rsidRPr="00071135">
              <w:rPr>
                <w:rFonts w:ascii="Trebuchet MS" w:eastAsia="Times New Roman" w:hAnsi="Trebuchet MS" w:cs="Arial"/>
                <w:noProof w:val="0"/>
                <w:lang w:val="ro-RO" w:eastAsia="ro-RO"/>
              </w:rPr>
              <w:t>densităţii</w:t>
            </w:r>
            <w:proofErr w:type="spellEnd"/>
            <w:r w:rsidRPr="00071135">
              <w:rPr>
                <w:rFonts w:ascii="Trebuchet MS" w:eastAsia="Times New Roman" w:hAnsi="Trebuchet MS" w:cs="Arial"/>
                <w:noProof w:val="0"/>
                <w:lang w:val="ro-RO" w:eastAsia="ro-RO"/>
              </w:rPr>
              <w:t xml:space="preserve"> păsărilor cu 15% </w:t>
            </w:r>
            <w:proofErr w:type="spellStart"/>
            <w:r w:rsidRPr="00071135">
              <w:rPr>
                <w:rFonts w:ascii="Trebuchet MS" w:eastAsia="Times New Roman" w:hAnsi="Trebuchet MS" w:cs="Arial"/>
                <w:noProof w:val="0"/>
                <w:lang w:val="ro-RO" w:eastAsia="ro-RO"/>
              </w:rPr>
              <w:t>faţă</w:t>
            </w:r>
            <w:proofErr w:type="spellEnd"/>
            <w:r w:rsidRPr="00071135">
              <w:rPr>
                <w:rFonts w:ascii="Trebuchet MS" w:eastAsia="Times New Roman" w:hAnsi="Trebuchet MS" w:cs="Arial"/>
                <w:noProof w:val="0"/>
                <w:lang w:val="ro-RO" w:eastAsia="ro-RO"/>
              </w:rPr>
              <w:t xml:space="preserve"> de densitatea rezultată din aplicarea </w:t>
            </w:r>
            <w:proofErr w:type="spellStart"/>
            <w:r w:rsidRPr="00071135">
              <w:rPr>
                <w:rFonts w:ascii="Trebuchet MS" w:eastAsia="Times New Roman" w:hAnsi="Trebuchet MS" w:cs="Arial"/>
                <w:noProof w:val="0"/>
                <w:lang w:val="ro-RO" w:eastAsia="ro-RO"/>
              </w:rPr>
              <w:t>cerinţelor</w:t>
            </w:r>
            <w:proofErr w:type="spellEnd"/>
            <w:r w:rsidRPr="00071135">
              <w:rPr>
                <w:rFonts w:ascii="Trebuchet MS" w:eastAsia="Times New Roman" w:hAnsi="Trebuchet MS" w:cs="Arial"/>
                <w:noProof w:val="0"/>
                <w:lang w:val="ro-RO" w:eastAsia="ro-RO"/>
              </w:rPr>
              <w:t xml:space="preserve"> minime obligatorii privind </w:t>
            </w:r>
            <w:proofErr w:type="spellStart"/>
            <w:r w:rsidRPr="00071135">
              <w:rPr>
                <w:rFonts w:ascii="Trebuchet MS" w:eastAsia="Times New Roman" w:hAnsi="Trebuchet MS" w:cs="Arial"/>
                <w:noProof w:val="0"/>
                <w:lang w:val="ro-RO" w:eastAsia="ro-RO"/>
              </w:rPr>
              <w:t>suprafaţa</w:t>
            </w:r>
            <w:proofErr w:type="spellEnd"/>
            <w:r w:rsidRPr="00071135">
              <w:rPr>
                <w:rFonts w:ascii="Trebuchet MS" w:eastAsia="Times New Roman" w:hAnsi="Trebuchet MS" w:cs="Arial"/>
                <w:noProof w:val="0"/>
                <w:lang w:val="ro-RO" w:eastAsia="ro-RO"/>
              </w:rPr>
              <w:t xml:space="preserve"> minimă alocată pentru fiecare categorie de păsări</w:t>
            </w:r>
          </w:p>
          <w:p w:rsidR="007B58B5" w:rsidRPr="00071135" w:rsidRDefault="007B58B5" w:rsidP="007B58B5">
            <w:pPr>
              <w:shd w:val="clear" w:color="auto" w:fill="FFFFFF"/>
              <w:spacing w:before="100" w:beforeAutospacing="1" w:after="100" w:afterAutospacing="1"/>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Pierderile de venit prin reducerea numărului de păsări se datorează scăderii cu 10%, respectiv cu 15%, a producției totale valorificate de pui de carne, găini ouătoare, găini de reproducție rase grele și pui de curcă. Economiile realizate în cadrul acestui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provin din reducerea consumului de furaje, achiziția de material biologic mai puțin, din reducerea costurilor cu acțiunile sanitar-veterinare și din reducerea costurilor cu utilitățile (costul cu energia electrică pentru furajarea păsărilor, costul cu alimentarea cu apă, costul cu evacuarea și transportul dejecțiilor) în urma </w:t>
            </w:r>
            <w:proofErr w:type="spellStart"/>
            <w:r w:rsidRPr="00071135">
              <w:rPr>
                <w:rFonts w:ascii="Trebuchet MS" w:eastAsia="Times New Roman" w:hAnsi="Trebuchet MS" w:cs="Arial"/>
                <w:noProof w:val="0"/>
                <w:lang w:val="ro-RO" w:eastAsia="ro-RO"/>
              </w:rPr>
              <w:t>creşterii</w:t>
            </w:r>
            <w:proofErr w:type="spellEnd"/>
            <w:r w:rsidRPr="00071135">
              <w:rPr>
                <w:rFonts w:ascii="Trebuchet MS" w:eastAsia="Times New Roman" w:hAnsi="Trebuchet MS" w:cs="Arial"/>
                <w:noProof w:val="0"/>
                <w:lang w:val="ro-RO" w:eastAsia="ro-RO"/>
              </w:rPr>
              <w:t xml:space="preserve"> unui număr redus de păsări. </w:t>
            </w:r>
          </w:p>
          <w:p w:rsidR="007B58B5" w:rsidRPr="00071135" w:rsidRDefault="007B58B5" w:rsidP="007B58B5">
            <w:pPr>
              <w:shd w:val="clear" w:color="auto" w:fill="FFFFFF"/>
              <w:spacing w:before="100" w:beforeAutospacing="1" w:after="100" w:afterAutospacing="1"/>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Din motivele expuse la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3b), în cazul aplicării independente a </w:t>
            </w:r>
            <w:proofErr w:type="spellStart"/>
            <w:r w:rsidRPr="00071135">
              <w:rPr>
                <w:rFonts w:ascii="Trebuchet MS" w:eastAsia="Times New Roman" w:hAnsi="Trebuchet MS" w:cs="Arial"/>
                <w:noProof w:val="0"/>
                <w:lang w:val="ro-RO" w:eastAsia="ro-RO"/>
              </w:rPr>
              <w:t>subpachetelor</w:t>
            </w:r>
            <w:proofErr w:type="spellEnd"/>
            <w:r w:rsidRPr="00071135">
              <w:rPr>
                <w:rFonts w:ascii="Trebuchet MS" w:eastAsia="Times New Roman" w:hAnsi="Trebuchet MS" w:cs="Arial"/>
                <w:noProof w:val="0"/>
                <w:lang w:val="ro-RO" w:eastAsia="ro-RO"/>
              </w:rPr>
              <w:t xml:space="preserve"> 1b) sau 2b), din valoarea </w:t>
            </w:r>
            <w:proofErr w:type="spellStart"/>
            <w:r w:rsidRPr="00071135">
              <w:rPr>
                <w:rFonts w:ascii="Trebuchet MS" w:eastAsia="Times New Roman" w:hAnsi="Trebuchet MS" w:cs="Arial"/>
                <w:noProof w:val="0"/>
                <w:lang w:val="ro-RO" w:eastAsia="ro-RO"/>
              </w:rPr>
              <w:t>plăţii</w:t>
            </w:r>
            <w:proofErr w:type="spellEnd"/>
            <w:r w:rsidRPr="00071135">
              <w:rPr>
                <w:rFonts w:ascii="Trebuchet MS" w:eastAsia="Times New Roman" w:hAnsi="Trebuchet MS" w:cs="Arial"/>
                <w:noProof w:val="0"/>
                <w:lang w:val="ro-RO" w:eastAsia="ro-RO"/>
              </w:rPr>
              <w:t xml:space="preserve"> rezultată pentru </w:t>
            </w:r>
            <w:proofErr w:type="spellStart"/>
            <w:r w:rsidRPr="00071135">
              <w:rPr>
                <w:rFonts w:ascii="Trebuchet MS" w:eastAsia="Times New Roman" w:hAnsi="Trebuchet MS" w:cs="Arial"/>
                <w:noProof w:val="0"/>
                <w:lang w:val="ro-RO" w:eastAsia="ro-RO"/>
              </w:rPr>
              <w:t>subpachetele</w:t>
            </w:r>
            <w:proofErr w:type="spellEnd"/>
            <w:r w:rsidRPr="00071135">
              <w:rPr>
                <w:rFonts w:ascii="Trebuchet MS" w:eastAsia="Times New Roman" w:hAnsi="Trebuchet MS" w:cs="Arial"/>
                <w:noProof w:val="0"/>
                <w:lang w:val="ro-RO" w:eastAsia="ro-RO"/>
              </w:rPr>
              <w:t xml:space="preserve"> de densitate a fost dedusă o sumă echivalentă cu economia estimată pentru consumul de energie utilizată pentru </w:t>
            </w:r>
            <w:proofErr w:type="spellStart"/>
            <w:r w:rsidRPr="00071135">
              <w:rPr>
                <w:rFonts w:ascii="Trebuchet MS" w:eastAsia="Times New Roman" w:hAnsi="Trebuchet MS" w:cs="Arial"/>
                <w:noProof w:val="0"/>
                <w:lang w:val="ro-RO" w:eastAsia="ro-RO"/>
              </w:rPr>
              <w:t>ventilaţie</w:t>
            </w:r>
            <w:proofErr w:type="spellEnd"/>
            <w:r w:rsidRPr="00071135">
              <w:rPr>
                <w:rFonts w:ascii="Trebuchet MS" w:eastAsia="Times New Roman" w:hAnsi="Trebuchet MS" w:cs="Arial"/>
                <w:noProof w:val="0"/>
                <w:lang w:val="ro-RO" w:eastAsia="ro-RO"/>
              </w:rPr>
              <w:t>:</w:t>
            </w:r>
          </w:p>
          <w:p w:rsidR="007B58B5" w:rsidRPr="00071135" w:rsidRDefault="007B58B5" w:rsidP="007B58B5">
            <w:pPr>
              <w:numPr>
                <w:ilvl w:val="0"/>
                <w:numId w:val="47"/>
              </w:numPr>
              <w:shd w:val="clear" w:color="auto" w:fill="FFFFFF"/>
              <w:spacing w:before="100" w:beforeAutospacing="1" w:after="100" w:afterAutospacing="1"/>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lastRenderedPageBreak/>
              <w:t xml:space="preserve">5% din plata integrală rezultată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3b se deduce din plata calculată pentru 1b,</w:t>
            </w:r>
          </w:p>
          <w:p w:rsidR="007B58B5" w:rsidRPr="00071135" w:rsidRDefault="007B58B5" w:rsidP="007B58B5">
            <w:pPr>
              <w:numPr>
                <w:ilvl w:val="0"/>
                <w:numId w:val="47"/>
              </w:numPr>
              <w:shd w:val="clear" w:color="auto" w:fill="FFFFFF"/>
              <w:spacing w:before="100" w:beforeAutospacing="1" w:after="100" w:afterAutospacing="1"/>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7,5% din plata integrală rezultată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3b se deduce din plata calculată pentru 2b.</w:t>
            </w:r>
          </w:p>
          <w:p w:rsidR="007B58B5" w:rsidRPr="00071135" w:rsidRDefault="007B58B5" w:rsidP="007B58B5">
            <w:pPr>
              <w:shd w:val="clear" w:color="auto" w:fill="FFFFFF"/>
              <w:spacing w:before="100" w:beforeAutospacing="1" w:after="100" w:afterAutospacing="1"/>
              <w:rPr>
                <w:rFonts w:ascii="Trebuchet MS" w:eastAsia="Times New Roman" w:hAnsi="Trebuchet MS" w:cs="Arial"/>
                <w:noProof w:val="0"/>
                <w:lang w:val="ro-RO" w:eastAsia="ro-RO"/>
              </w:rPr>
            </w:pPr>
            <w:proofErr w:type="spellStart"/>
            <w:r w:rsidRPr="00071135">
              <w:rPr>
                <w:rFonts w:ascii="Trebuchet MS" w:eastAsia="Times New Roman" w:hAnsi="Trebuchet MS" w:cs="Arial"/>
                <w:b/>
                <w:bCs/>
                <w:noProof w:val="0"/>
                <w:lang w:val="ro-RO" w:eastAsia="ro-RO"/>
              </w:rPr>
              <w:t>Subpachet</w:t>
            </w:r>
            <w:proofErr w:type="spellEnd"/>
            <w:r w:rsidRPr="00071135">
              <w:rPr>
                <w:rFonts w:ascii="Trebuchet MS" w:eastAsia="Times New Roman" w:hAnsi="Trebuchet MS" w:cs="Arial"/>
                <w:b/>
                <w:bCs/>
                <w:noProof w:val="0"/>
                <w:lang w:val="ro-RO" w:eastAsia="ro-RO"/>
              </w:rPr>
              <w:t xml:space="preserve"> 3b)</w:t>
            </w:r>
            <w:r w:rsidRPr="00071135">
              <w:rPr>
                <w:rFonts w:ascii="Trebuchet MS" w:eastAsia="Times New Roman" w:hAnsi="Trebuchet MS" w:cs="Arial"/>
                <w:noProof w:val="0"/>
                <w:lang w:val="ro-RO" w:eastAsia="ro-RO"/>
              </w:rPr>
              <w:t xml:space="preserve"> - reducerea noxelor cu 30% față de nivelul minim obligatoriu prin menținerea in limite optime a parametrilor de microclimat</w:t>
            </w:r>
          </w:p>
          <w:p w:rsidR="007B58B5" w:rsidRPr="00071135" w:rsidRDefault="007B58B5" w:rsidP="007B58B5">
            <w:pPr>
              <w:shd w:val="clear" w:color="auto" w:fill="FFFFFF"/>
              <w:spacing w:before="100" w:beforeAutospacing="1" w:after="100" w:afterAutospacing="1"/>
              <w:rPr>
                <w:rFonts w:ascii="Trebuchet MS" w:eastAsia="Times New Roman" w:hAnsi="Trebuchet MS" w:cs="Arial"/>
                <w:noProof w:val="0"/>
                <w:lang w:val="ro-RO" w:eastAsia="ro-RO"/>
              </w:rPr>
            </w:pPr>
            <w:r w:rsidRPr="00071135">
              <w:rPr>
                <w:rFonts w:ascii="Trebuchet MS" w:eastAsia="Times New Roman" w:hAnsi="Trebuchet MS" w:cs="Arial"/>
                <w:noProof w:val="0"/>
                <w:lang w:val="ro-RO" w:eastAsia="ro-RO"/>
              </w:rPr>
              <w:t xml:space="preserve">Cheltuielile suplimentare realizate ca urmare a aplicării </w:t>
            </w:r>
            <w:proofErr w:type="spellStart"/>
            <w:r w:rsidRPr="00071135">
              <w:rPr>
                <w:rFonts w:ascii="Trebuchet MS" w:eastAsia="Times New Roman" w:hAnsi="Trebuchet MS" w:cs="Arial"/>
                <w:noProof w:val="0"/>
                <w:lang w:val="ro-RO" w:eastAsia="ro-RO"/>
              </w:rPr>
              <w:t>subpachetului</w:t>
            </w:r>
            <w:proofErr w:type="spellEnd"/>
            <w:r w:rsidRPr="00071135">
              <w:rPr>
                <w:rFonts w:ascii="Trebuchet MS" w:eastAsia="Times New Roman" w:hAnsi="Trebuchet MS" w:cs="Arial"/>
                <w:noProof w:val="0"/>
                <w:lang w:val="ro-RO" w:eastAsia="ro-RO"/>
              </w:rPr>
              <w:t xml:space="preserve"> provin din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cheltuielilor cu consumul suplimentar de energie electrică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din </w:t>
            </w:r>
            <w:proofErr w:type="spellStart"/>
            <w:r w:rsidRPr="00071135">
              <w:rPr>
                <w:rFonts w:ascii="Trebuchet MS" w:eastAsia="Times New Roman" w:hAnsi="Trebuchet MS" w:cs="Arial"/>
                <w:noProof w:val="0"/>
                <w:lang w:val="ro-RO" w:eastAsia="ro-RO"/>
              </w:rPr>
              <w:t>creşterea</w:t>
            </w:r>
            <w:proofErr w:type="spellEnd"/>
            <w:r w:rsidRPr="00071135">
              <w:rPr>
                <w:rFonts w:ascii="Trebuchet MS" w:eastAsia="Times New Roman" w:hAnsi="Trebuchet MS" w:cs="Arial"/>
                <w:noProof w:val="0"/>
                <w:lang w:val="ro-RO" w:eastAsia="ro-RO"/>
              </w:rPr>
              <w:t xml:space="preserve"> cheltuielilor ca urmare a schimbării cu </w:t>
            </w:r>
            <w:proofErr w:type="spellStart"/>
            <w:r w:rsidRPr="00071135">
              <w:rPr>
                <w:rFonts w:ascii="Trebuchet MS" w:eastAsia="Times New Roman" w:hAnsi="Trebuchet MS" w:cs="Arial"/>
                <w:noProof w:val="0"/>
                <w:lang w:val="ro-RO" w:eastAsia="ro-RO"/>
              </w:rPr>
              <w:t>frecvenţă</w:t>
            </w:r>
            <w:proofErr w:type="spellEnd"/>
            <w:r w:rsidRPr="00071135">
              <w:rPr>
                <w:rFonts w:ascii="Trebuchet MS" w:eastAsia="Times New Roman" w:hAnsi="Trebuchet MS" w:cs="Arial"/>
                <w:noProof w:val="0"/>
                <w:lang w:val="ro-RO" w:eastAsia="ro-RO"/>
              </w:rPr>
              <w:t xml:space="preserve"> crescută a filtrelor de aer pentru reducerea noxelor. Având în vedere obligativitatea accesării mai multor </w:t>
            </w:r>
            <w:proofErr w:type="spellStart"/>
            <w:r w:rsidRPr="00071135">
              <w:rPr>
                <w:rFonts w:ascii="Trebuchet MS" w:eastAsia="Times New Roman" w:hAnsi="Trebuchet MS" w:cs="Arial"/>
                <w:noProof w:val="0"/>
                <w:lang w:val="ro-RO" w:eastAsia="ro-RO"/>
              </w:rPr>
              <w:t>subpachete</w:t>
            </w:r>
            <w:proofErr w:type="spellEnd"/>
            <w:r w:rsidRPr="00071135">
              <w:rPr>
                <w:rFonts w:ascii="Trebuchet MS" w:eastAsia="Times New Roman" w:hAnsi="Trebuchet MS" w:cs="Arial"/>
                <w:noProof w:val="0"/>
                <w:lang w:val="ro-RO" w:eastAsia="ro-RO"/>
              </w:rPr>
              <w:t xml:space="preserve"> simultan, acest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se poate aplica numai împreună cu unul cu </w:t>
            </w:r>
            <w:proofErr w:type="spellStart"/>
            <w:r w:rsidRPr="00071135">
              <w:rPr>
                <w:rFonts w:ascii="Trebuchet MS" w:eastAsia="Times New Roman" w:hAnsi="Trebuchet MS" w:cs="Arial"/>
                <w:noProof w:val="0"/>
                <w:lang w:val="ro-RO" w:eastAsia="ro-RO"/>
              </w:rPr>
              <w:t>subpachetele</w:t>
            </w:r>
            <w:proofErr w:type="spellEnd"/>
            <w:r w:rsidRPr="00071135">
              <w:rPr>
                <w:rFonts w:ascii="Trebuchet MS" w:eastAsia="Times New Roman" w:hAnsi="Trebuchet MS" w:cs="Arial"/>
                <w:noProof w:val="0"/>
                <w:lang w:val="ro-RO" w:eastAsia="ro-RO"/>
              </w:rPr>
              <w:t xml:space="preserve"> de reducere a </w:t>
            </w:r>
            <w:proofErr w:type="spellStart"/>
            <w:r w:rsidRPr="00071135">
              <w:rPr>
                <w:rFonts w:ascii="Trebuchet MS" w:eastAsia="Times New Roman" w:hAnsi="Trebuchet MS" w:cs="Arial"/>
                <w:noProof w:val="0"/>
                <w:lang w:val="ro-RO" w:eastAsia="ro-RO"/>
              </w:rPr>
              <w:t>densităţii</w:t>
            </w:r>
            <w:proofErr w:type="spellEnd"/>
            <w:r w:rsidRPr="00071135">
              <w:rPr>
                <w:rFonts w:ascii="Trebuchet MS" w:eastAsia="Times New Roman" w:hAnsi="Trebuchet MS" w:cs="Arial"/>
                <w:noProof w:val="0"/>
                <w:lang w:val="ro-RO" w:eastAsia="ro-RO"/>
              </w:rPr>
              <w:t xml:space="preserve">. Astfel, efortul estimat a se realiza pentru atingerea indicatorului superior de bunăstare este mai redus decât în cazul aplicării independente (scenariu luat în calcul de metodologia de calcul, pe fondul faptului că consumul suplimentar de energie cu </w:t>
            </w:r>
            <w:proofErr w:type="spellStart"/>
            <w:r w:rsidRPr="00071135">
              <w:rPr>
                <w:rFonts w:ascii="Trebuchet MS" w:eastAsia="Times New Roman" w:hAnsi="Trebuchet MS" w:cs="Arial"/>
                <w:noProof w:val="0"/>
                <w:lang w:val="ro-RO" w:eastAsia="ro-RO"/>
              </w:rPr>
              <w:t>ventilaţia</w:t>
            </w:r>
            <w:proofErr w:type="spellEnd"/>
            <w:r w:rsidRPr="00071135">
              <w:rPr>
                <w:rFonts w:ascii="Trebuchet MS" w:eastAsia="Times New Roman" w:hAnsi="Trebuchet MS" w:cs="Arial"/>
                <w:noProof w:val="0"/>
                <w:lang w:val="ro-RO" w:eastAsia="ro-RO"/>
              </w:rPr>
              <w:t xml:space="preserve"> reprezintă un cost variabil, fiind </w:t>
            </w:r>
            <w:proofErr w:type="spellStart"/>
            <w:r w:rsidRPr="00071135">
              <w:rPr>
                <w:rFonts w:ascii="Trebuchet MS" w:eastAsia="Times New Roman" w:hAnsi="Trebuchet MS" w:cs="Arial"/>
                <w:noProof w:val="0"/>
                <w:lang w:val="ro-RO" w:eastAsia="ro-RO"/>
              </w:rPr>
              <w:t>influenţat</w:t>
            </w:r>
            <w:proofErr w:type="spellEnd"/>
            <w:r w:rsidRPr="00071135">
              <w:rPr>
                <w:rFonts w:ascii="Trebuchet MS" w:eastAsia="Times New Roman" w:hAnsi="Trebuchet MS" w:cs="Arial"/>
                <w:noProof w:val="0"/>
                <w:lang w:val="ro-RO" w:eastAsia="ro-RO"/>
              </w:rPr>
              <w:t xml:space="preserve">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de numărul de animale, pe lângă </w:t>
            </w:r>
            <w:proofErr w:type="spellStart"/>
            <w:r w:rsidRPr="00071135">
              <w:rPr>
                <w:rFonts w:ascii="Trebuchet MS" w:eastAsia="Times New Roman" w:hAnsi="Trebuchet MS" w:cs="Arial"/>
                <w:noProof w:val="0"/>
                <w:lang w:val="ro-RO" w:eastAsia="ro-RO"/>
              </w:rPr>
              <w:t>alţi</w:t>
            </w:r>
            <w:proofErr w:type="spellEnd"/>
            <w:r w:rsidRPr="00071135">
              <w:rPr>
                <w:rFonts w:ascii="Trebuchet MS" w:eastAsia="Times New Roman" w:hAnsi="Trebuchet MS" w:cs="Arial"/>
                <w:noProof w:val="0"/>
                <w:lang w:val="ro-RO" w:eastAsia="ro-RO"/>
              </w:rPr>
              <w:t xml:space="preserve"> factori (umiditate, temperatură, viteza </w:t>
            </w:r>
            <w:proofErr w:type="spellStart"/>
            <w:r w:rsidRPr="00071135">
              <w:rPr>
                <w:rFonts w:ascii="Trebuchet MS" w:eastAsia="Times New Roman" w:hAnsi="Trebuchet MS" w:cs="Arial"/>
                <w:noProof w:val="0"/>
                <w:lang w:val="ro-RO" w:eastAsia="ro-RO"/>
              </w:rPr>
              <w:t>curenţilor</w:t>
            </w:r>
            <w:proofErr w:type="spellEnd"/>
            <w:r w:rsidRPr="00071135">
              <w:rPr>
                <w:rFonts w:ascii="Trebuchet MS" w:eastAsia="Times New Roman" w:hAnsi="Trebuchet MS" w:cs="Arial"/>
                <w:noProof w:val="0"/>
                <w:lang w:val="ro-RO" w:eastAsia="ro-RO"/>
              </w:rPr>
              <w:t xml:space="preserve"> de aer, etc.). Nici în cazul păsărilor nu există o </w:t>
            </w:r>
            <w:proofErr w:type="spellStart"/>
            <w:r w:rsidRPr="00071135">
              <w:rPr>
                <w:rFonts w:ascii="Trebuchet MS" w:eastAsia="Times New Roman" w:hAnsi="Trebuchet MS" w:cs="Arial"/>
                <w:noProof w:val="0"/>
                <w:lang w:val="ro-RO" w:eastAsia="ro-RO"/>
              </w:rPr>
              <w:t>relaţie</w:t>
            </w:r>
            <w:proofErr w:type="spellEnd"/>
            <w:r w:rsidRPr="00071135">
              <w:rPr>
                <w:rFonts w:ascii="Trebuchet MS" w:eastAsia="Times New Roman" w:hAnsi="Trebuchet MS" w:cs="Arial"/>
                <w:noProof w:val="0"/>
                <w:lang w:val="ro-RO" w:eastAsia="ro-RO"/>
              </w:rPr>
              <w:t xml:space="preserve"> de </w:t>
            </w:r>
            <w:proofErr w:type="spellStart"/>
            <w:r w:rsidRPr="00071135">
              <w:rPr>
                <w:rFonts w:ascii="Trebuchet MS" w:eastAsia="Times New Roman" w:hAnsi="Trebuchet MS" w:cs="Arial"/>
                <w:noProof w:val="0"/>
                <w:lang w:val="ro-RO" w:eastAsia="ro-RO"/>
              </w:rPr>
              <w:t>proporţionalitate</w:t>
            </w:r>
            <w:proofErr w:type="spellEnd"/>
            <w:r w:rsidRPr="00071135">
              <w:rPr>
                <w:rFonts w:ascii="Trebuchet MS" w:eastAsia="Times New Roman" w:hAnsi="Trebuchet MS" w:cs="Arial"/>
                <w:noProof w:val="0"/>
                <w:lang w:val="ro-RO" w:eastAsia="ro-RO"/>
              </w:rPr>
              <w:t xml:space="preserve"> liniară între numărul de animale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nivelul NH3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CO2 din hale. Cu scopul evitării </w:t>
            </w:r>
            <w:proofErr w:type="spellStart"/>
            <w:r w:rsidRPr="00071135">
              <w:rPr>
                <w:rFonts w:ascii="Trebuchet MS" w:eastAsia="Times New Roman" w:hAnsi="Trebuchet MS" w:cs="Arial"/>
                <w:noProof w:val="0"/>
                <w:lang w:val="ro-RO" w:eastAsia="ro-RO"/>
              </w:rPr>
              <w:t>supracompensării</w:t>
            </w:r>
            <w:proofErr w:type="spellEnd"/>
            <w:r w:rsidRPr="00071135">
              <w:rPr>
                <w:rFonts w:ascii="Trebuchet MS" w:eastAsia="Times New Roman" w:hAnsi="Trebuchet MS" w:cs="Arial"/>
                <w:noProof w:val="0"/>
                <w:lang w:val="ro-RO" w:eastAsia="ro-RO"/>
              </w:rPr>
              <w:t xml:space="preserve"> beneficiarilor care vor aplica acest </w:t>
            </w:r>
            <w:proofErr w:type="spellStart"/>
            <w:r w:rsidRPr="00071135">
              <w:rPr>
                <w:rFonts w:ascii="Trebuchet MS" w:eastAsia="Times New Roman" w:hAnsi="Trebuchet MS" w:cs="Arial"/>
                <w:noProof w:val="0"/>
                <w:lang w:val="ro-RO" w:eastAsia="ro-RO"/>
              </w:rPr>
              <w:t>subpachet</w:t>
            </w:r>
            <w:proofErr w:type="spellEnd"/>
            <w:r w:rsidRPr="00071135">
              <w:rPr>
                <w:rFonts w:ascii="Trebuchet MS" w:eastAsia="Times New Roman" w:hAnsi="Trebuchet MS" w:cs="Arial"/>
                <w:noProof w:val="0"/>
                <w:lang w:val="ro-RO" w:eastAsia="ro-RO"/>
              </w:rPr>
              <w:t xml:space="preserve">, în </w:t>
            </w:r>
            <w:proofErr w:type="spellStart"/>
            <w:r w:rsidRPr="00071135">
              <w:rPr>
                <w:rFonts w:ascii="Trebuchet MS" w:eastAsia="Times New Roman" w:hAnsi="Trebuchet MS" w:cs="Arial"/>
                <w:noProof w:val="0"/>
                <w:lang w:val="ro-RO" w:eastAsia="ro-RO"/>
              </w:rPr>
              <w:t>funcţie</w:t>
            </w:r>
            <w:proofErr w:type="spellEnd"/>
            <w:r w:rsidRPr="00071135">
              <w:rPr>
                <w:rFonts w:ascii="Trebuchet MS" w:eastAsia="Times New Roman" w:hAnsi="Trebuchet MS" w:cs="Arial"/>
                <w:noProof w:val="0"/>
                <w:lang w:val="ro-RO" w:eastAsia="ro-RO"/>
              </w:rPr>
              <w:t xml:space="preserve"> de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de densitate care se aplică, se propune o reducere a nivelului </w:t>
            </w:r>
            <w:proofErr w:type="spellStart"/>
            <w:r w:rsidRPr="00071135">
              <w:rPr>
                <w:rFonts w:ascii="Trebuchet MS" w:eastAsia="Times New Roman" w:hAnsi="Trebuchet MS" w:cs="Arial"/>
                <w:noProof w:val="0"/>
                <w:lang w:val="ro-RO" w:eastAsia="ro-RO"/>
              </w:rPr>
              <w:t>plăţii</w:t>
            </w:r>
            <w:proofErr w:type="spellEnd"/>
            <w:r w:rsidRPr="00071135">
              <w:rPr>
                <w:rFonts w:ascii="Trebuchet MS" w:eastAsia="Times New Roman" w:hAnsi="Trebuchet MS" w:cs="Arial"/>
                <w:noProof w:val="0"/>
                <w:lang w:val="ro-RO" w:eastAsia="ro-RO"/>
              </w:rPr>
              <w:t xml:space="preserve"> pentru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3b) cu 5% în cazul aplicării împreună cu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1b) </w:t>
            </w:r>
            <w:proofErr w:type="spellStart"/>
            <w:r w:rsidRPr="00071135">
              <w:rPr>
                <w:rFonts w:ascii="Trebuchet MS" w:eastAsia="Times New Roman" w:hAnsi="Trebuchet MS" w:cs="Arial"/>
                <w:noProof w:val="0"/>
                <w:lang w:val="ro-RO" w:eastAsia="ro-RO"/>
              </w:rPr>
              <w:t>şi</w:t>
            </w:r>
            <w:proofErr w:type="spellEnd"/>
            <w:r w:rsidRPr="00071135">
              <w:rPr>
                <w:rFonts w:ascii="Trebuchet MS" w:eastAsia="Times New Roman" w:hAnsi="Trebuchet MS" w:cs="Arial"/>
                <w:noProof w:val="0"/>
                <w:lang w:val="ro-RO" w:eastAsia="ro-RO"/>
              </w:rPr>
              <w:t xml:space="preserve"> de 7,5% în cazul aplicării împreună cu </w:t>
            </w:r>
            <w:proofErr w:type="spellStart"/>
            <w:r w:rsidRPr="00071135">
              <w:rPr>
                <w:rFonts w:ascii="Trebuchet MS" w:eastAsia="Times New Roman" w:hAnsi="Trebuchet MS" w:cs="Arial"/>
                <w:noProof w:val="0"/>
                <w:lang w:val="ro-RO" w:eastAsia="ro-RO"/>
              </w:rPr>
              <w:t>subpachetul</w:t>
            </w:r>
            <w:proofErr w:type="spellEnd"/>
            <w:r w:rsidRPr="00071135">
              <w:rPr>
                <w:rFonts w:ascii="Trebuchet MS" w:eastAsia="Times New Roman" w:hAnsi="Trebuchet MS" w:cs="Arial"/>
                <w:noProof w:val="0"/>
                <w:lang w:val="ro-RO" w:eastAsia="ro-RO"/>
              </w:rPr>
              <w:t xml:space="preserve"> 2b).</w:t>
            </w:r>
          </w:p>
          <w:p w:rsidR="00C76505" w:rsidRPr="00071135" w:rsidRDefault="00C76505" w:rsidP="007B58B5">
            <w:pPr>
              <w:shd w:val="clear" w:color="auto" w:fill="FFFFFF"/>
              <w:spacing w:before="100" w:beforeAutospacing="1" w:after="100" w:afterAutospacing="1"/>
              <w:rPr>
                <w:rFonts w:ascii="Trebuchet MS" w:hAnsi="Trebuchet MS"/>
                <w:bCs/>
                <w:lang w:val="ro-RO"/>
              </w:rPr>
            </w:pPr>
          </w:p>
        </w:tc>
      </w:tr>
    </w:tbl>
    <w:p w:rsidR="001B426C" w:rsidRPr="00071135" w:rsidRDefault="00584CE7" w:rsidP="0058717F">
      <w:pPr>
        <w:keepNext/>
        <w:spacing w:before="120" w:after="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lastRenderedPageBreak/>
        <w:t xml:space="preserve">8. </w:t>
      </w:r>
      <w:r w:rsidR="000660FC" w:rsidRPr="00071135">
        <w:rPr>
          <w:rFonts w:ascii="Trebuchet MS" w:eastAsia="Times New Roman" w:hAnsi="Trebuchet MS" w:cs="Times New Roman"/>
          <w:b/>
          <w:bCs/>
          <w:lang w:val="ro-RO" w:eastAsia="en-GB"/>
        </w:rPr>
        <w:t xml:space="preserve">Informații </w:t>
      </w:r>
      <w:r w:rsidRPr="00071135">
        <w:rPr>
          <w:rFonts w:ascii="Trebuchet MS" w:eastAsia="Times New Roman" w:hAnsi="Trebuchet MS" w:cs="Times New Roman"/>
          <w:b/>
          <w:bCs/>
          <w:lang w:val="ro-RO" w:eastAsia="en-GB"/>
        </w:rPr>
        <w:t>privind</w:t>
      </w:r>
      <w:r w:rsidR="000660FC" w:rsidRPr="00071135">
        <w:rPr>
          <w:rFonts w:ascii="Trebuchet MS" w:eastAsia="Times New Roman" w:hAnsi="Trebuchet MS" w:cs="Times New Roman"/>
          <w:b/>
          <w:bCs/>
          <w:lang w:val="ro-RO" w:eastAsia="en-GB"/>
        </w:rPr>
        <w:t xml:space="preserve"> ajutorul de stat</w:t>
      </w:r>
    </w:p>
    <w:p w:rsidR="005209A2" w:rsidRPr="00071135"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bookmarkStart w:id="364" w:name="_Hlk87379525"/>
      <w:r w:rsidRPr="00071135">
        <w:rPr>
          <w:rFonts w:ascii="Trebuchet MS" w:eastAsia="Times New Roman" w:hAnsi="Trebuchet MS" w:cs="Times New Roman"/>
          <w:b/>
          <w:bCs/>
          <w:lang w:val="ro-RO" w:eastAsia="en-GB"/>
        </w:rPr>
        <w:t>Intervenția nu intră în domeniul de aplicare al articolului 42 din TFUE și face obiectul evaluării ajutorului de stat:</w:t>
      </w:r>
    </w:p>
    <w:p w:rsidR="005209A2" w:rsidRPr="00071135" w:rsidRDefault="008E73F0"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71135">
        <w:rPr>
          <w:rFonts w:ascii="Arial" w:eastAsia="Times New Roman" w:hAnsi="Arial" w:cs="Arial"/>
          <w:lang w:val="ro-RO"/>
        </w:rPr>
        <w:t>○</w:t>
      </w:r>
      <w:r w:rsidR="001B426C" w:rsidRPr="00071135">
        <w:rPr>
          <w:rFonts w:ascii="Trebuchet MS" w:eastAsia="Times New Roman" w:hAnsi="Trebuchet MS" w:cs="Times New Roman"/>
          <w:lang w:val="ro-RO"/>
        </w:rPr>
        <w:t xml:space="preserve"> </w:t>
      </w:r>
      <w:r w:rsidRPr="00071135">
        <w:rPr>
          <w:rFonts w:ascii="Trebuchet MS" w:eastAsia="Times New Roman" w:hAnsi="Trebuchet MS" w:cs="Times New Roman"/>
          <w:b/>
          <w:bCs/>
          <w:lang w:val="ro-RO"/>
        </w:rPr>
        <w:t>Da</w:t>
      </w:r>
      <w:r w:rsidR="00656A73" w:rsidRPr="00071135">
        <w:rPr>
          <w:rFonts w:ascii="Trebuchet MS" w:eastAsia="Times New Roman" w:hAnsi="Trebuchet MS" w:cs="Times New Roman"/>
          <w:lang w:val="ro-RO"/>
        </w:rPr>
        <w:t xml:space="preserve"> </w:t>
      </w:r>
    </w:p>
    <w:p w:rsidR="005209A2" w:rsidRPr="00071135" w:rsidRDefault="008E73F0"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71135">
        <w:rPr>
          <w:rFonts w:ascii="Arial" w:eastAsia="Times New Roman" w:hAnsi="Arial" w:cs="Arial"/>
          <w:b/>
          <w:lang w:val="ro-RO"/>
        </w:rPr>
        <w:t>●</w:t>
      </w:r>
      <w:r w:rsidR="001B426C" w:rsidRPr="00071135">
        <w:rPr>
          <w:rFonts w:ascii="Trebuchet MS" w:eastAsia="Times New Roman" w:hAnsi="Trebuchet MS" w:cs="Times New Roman"/>
          <w:b/>
          <w:lang w:val="ro-RO"/>
        </w:rPr>
        <w:t xml:space="preserve"> </w:t>
      </w:r>
      <w:r w:rsidR="00656A73" w:rsidRPr="00071135">
        <w:rPr>
          <w:rFonts w:ascii="Trebuchet MS" w:eastAsia="Times New Roman" w:hAnsi="Trebuchet MS" w:cs="Times New Roman"/>
          <w:bCs/>
          <w:lang w:val="ro-RO"/>
        </w:rPr>
        <w:t>Nu</w:t>
      </w:r>
      <w:r w:rsidR="00656A73" w:rsidRPr="00071135">
        <w:rPr>
          <w:rFonts w:ascii="Trebuchet MS" w:eastAsia="Times New Roman" w:hAnsi="Trebuchet MS" w:cs="Times New Roman"/>
          <w:lang w:val="ro-RO"/>
        </w:rPr>
        <w:t xml:space="preserve"> </w:t>
      </w:r>
    </w:p>
    <w:p w:rsidR="001B426C" w:rsidRPr="00071135" w:rsidRDefault="001B426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71135">
        <w:rPr>
          <w:rFonts w:ascii="Arial" w:eastAsia="Times New Roman" w:hAnsi="Arial" w:cs="Arial"/>
          <w:lang w:val="ro-RO"/>
        </w:rPr>
        <w:t>○</w:t>
      </w:r>
      <w:r w:rsidRPr="00071135">
        <w:rPr>
          <w:rFonts w:ascii="Trebuchet MS" w:eastAsia="Times New Roman" w:hAnsi="Trebuchet MS" w:cs="Times New Roman"/>
          <w:lang w:val="ro-RO"/>
        </w:rPr>
        <w:t xml:space="preserve"> </w:t>
      </w:r>
      <w:r w:rsidR="00656A73" w:rsidRPr="00071135">
        <w:rPr>
          <w:rFonts w:ascii="Trebuchet MS" w:eastAsia="Times New Roman" w:hAnsi="Trebuchet MS" w:cs="Times New Roman"/>
          <w:lang w:val="ro-RO"/>
        </w:rPr>
        <w:t xml:space="preserve">Mixt </w:t>
      </w:r>
      <w:r w:rsidRPr="00071135">
        <w:rPr>
          <w:rFonts w:ascii="Trebuchet MS" w:eastAsia="Times New Roman" w:hAnsi="Trebuchet MS" w:cs="Times New Roman"/>
          <w:lang w:val="ro-RO"/>
        </w:rPr>
        <w:t xml:space="preserve">– </w:t>
      </w:r>
      <w:r w:rsidR="00656A73" w:rsidRPr="00071135">
        <w:rPr>
          <w:rFonts w:ascii="Trebuchet MS" w:eastAsia="Times New Roman" w:hAnsi="Trebuchet MS" w:cs="Times New Roman"/>
          <w:lang w:val="ro-RO"/>
        </w:rPr>
        <w:t>activitățile sprijinite pot depăși sau nu preverile art. 42 din TFUE</w:t>
      </w:r>
    </w:p>
    <w:bookmarkEnd w:id="364"/>
    <w:p w:rsidR="00E86583" w:rsidRPr="00071135" w:rsidRDefault="00030FA0" w:rsidP="00420A83">
      <w:pPr>
        <w:keepNext/>
        <w:spacing w:after="0" w:line="240" w:lineRule="auto"/>
        <w:contextualSpacing/>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9. </w:t>
      </w:r>
      <w:r w:rsidR="00E86583" w:rsidRPr="00071135">
        <w:rPr>
          <w:rFonts w:ascii="Trebuchet MS" w:eastAsia="Times New Roman" w:hAnsi="Trebuchet MS" w:cs="Times New Roman"/>
          <w:b/>
          <w:bCs/>
          <w:lang w:val="ro-RO" w:eastAsia="en-GB"/>
        </w:rPr>
        <w:t>Informații suplimentare specifice tipului de intervenție</w:t>
      </w:r>
    </w:p>
    <w:tbl>
      <w:tblPr>
        <w:tblStyle w:val="TableGrid"/>
        <w:tblpPr w:leftFromText="180" w:rightFromText="180" w:vertAnchor="text" w:tblpY="1"/>
        <w:tblOverlap w:val="never"/>
        <w:tblW w:w="5000" w:type="pct"/>
        <w:tblLook w:val="04A0" w:firstRow="1" w:lastRow="0" w:firstColumn="1" w:lastColumn="0" w:noHBand="0" w:noVBand="1"/>
      </w:tblPr>
      <w:tblGrid>
        <w:gridCol w:w="9911"/>
      </w:tblGrid>
      <w:tr w:rsidR="00071135" w:rsidRPr="00071135" w:rsidTr="000E15D8">
        <w:tc>
          <w:tcPr>
            <w:tcW w:w="5000" w:type="pct"/>
          </w:tcPr>
          <w:p w:rsidR="00F74CD9" w:rsidRPr="00071135" w:rsidRDefault="000351E7" w:rsidP="0058717F">
            <w:pPr>
              <w:keepNext/>
              <w:spacing w:before="120" w:after="120"/>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T</w:t>
            </w:r>
            <w:r w:rsidR="00F74CD9" w:rsidRPr="00071135">
              <w:rPr>
                <w:rFonts w:ascii="Trebuchet MS" w:eastAsia="Times New Roman" w:hAnsi="Trebuchet MS" w:cs="Times New Roman"/>
                <w:b/>
                <w:bCs/>
                <w:lang w:val="ro-RO" w:eastAsia="en-GB"/>
              </w:rPr>
              <w:t>ipul de angajament în cadrul intervenției</w:t>
            </w:r>
          </w:p>
          <w:p w:rsidR="00F74CD9" w:rsidRPr="00071135" w:rsidRDefault="00F74CD9" w:rsidP="0058717F">
            <w:pPr>
              <w:keepNext/>
              <w:spacing w:before="120" w:after="120"/>
              <w:jc w:val="both"/>
              <w:rPr>
                <w:rFonts w:ascii="Trebuchet MS" w:eastAsia="Times New Roman" w:hAnsi="Trebuchet MS" w:cs="Times New Roman"/>
                <w:lang w:val="ro-RO" w:eastAsia="en-GB"/>
              </w:rPr>
            </w:pPr>
            <w:r w:rsidRPr="00071135">
              <w:rPr>
                <w:rFonts w:ascii="Arial" w:eastAsia="Times New Roman" w:hAnsi="Arial" w:cs="Arial"/>
                <w:lang w:val="ro-RO" w:eastAsia="en-GB"/>
              </w:rPr>
              <w:t>○</w:t>
            </w:r>
            <w:r w:rsidRPr="00071135">
              <w:rPr>
                <w:rFonts w:ascii="Trebuchet MS" w:eastAsia="Times New Roman" w:hAnsi="Trebuchet MS" w:cs="Times New Roman"/>
                <w:lang w:val="ro-RO" w:eastAsia="en-GB"/>
              </w:rPr>
              <w:t xml:space="preserve"> Bazat pe rezultate (cu posibilitatea de a selecta și alege) </w:t>
            </w:r>
          </w:p>
          <w:p w:rsidR="00F74CD9" w:rsidRPr="00071135" w:rsidRDefault="000351E7" w:rsidP="0058717F">
            <w:pPr>
              <w:keepNext/>
              <w:spacing w:before="120" w:after="120"/>
              <w:jc w:val="both"/>
              <w:rPr>
                <w:rFonts w:ascii="Trebuchet MS" w:eastAsia="Times New Roman" w:hAnsi="Trebuchet MS" w:cs="Times New Roman"/>
                <w:lang w:val="ro-RO" w:eastAsia="en-GB"/>
              </w:rPr>
            </w:pPr>
            <w:r w:rsidRPr="00071135">
              <w:rPr>
                <w:rFonts w:ascii="Arial" w:eastAsia="Times New Roman" w:hAnsi="Arial" w:cs="Arial"/>
                <w:lang w:val="ro-RO" w:eastAsia="en-GB"/>
              </w:rPr>
              <w:t>●</w:t>
            </w:r>
            <w:r w:rsidR="00F74CD9" w:rsidRPr="00071135">
              <w:rPr>
                <w:rFonts w:ascii="Trebuchet MS" w:eastAsia="Times New Roman" w:hAnsi="Trebuchet MS" w:cs="Times New Roman"/>
                <w:lang w:val="ro-RO" w:eastAsia="en-GB"/>
              </w:rPr>
              <w:t xml:space="preserve"> Bazat pe management (cu posibilitatea de a selecta și alege) </w:t>
            </w:r>
          </w:p>
          <w:p w:rsidR="00F74CD9" w:rsidRPr="00071135" w:rsidRDefault="00F74CD9" w:rsidP="0058717F">
            <w:pPr>
              <w:keepNext/>
              <w:spacing w:before="120" w:after="120"/>
              <w:jc w:val="both"/>
              <w:rPr>
                <w:rFonts w:ascii="Trebuchet MS" w:eastAsia="Times New Roman" w:hAnsi="Trebuchet MS" w:cs="Times New Roman"/>
                <w:lang w:val="ro-RO" w:eastAsia="en-GB"/>
              </w:rPr>
            </w:pPr>
            <w:r w:rsidRPr="00071135">
              <w:rPr>
                <w:rFonts w:ascii="Arial" w:eastAsia="Times New Roman" w:hAnsi="Arial" w:cs="Arial"/>
                <w:lang w:val="ro-RO" w:eastAsia="en-GB"/>
              </w:rPr>
              <w:t>○</w:t>
            </w:r>
            <w:r w:rsidRPr="00071135">
              <w:rPr>
                <w:rFonts w:ascii="Trebuchet MS" w:eastAsia="Times New Roman" w:hAnsi="Trebuchet MS" w:cs="Times New Roman"/>
                <w:lang w:val="ro-RO" w:eastAsia="en-GB"/>
              </w:rPr>
              <w:t xml:space="preserve"> </w:t>
            </w:r>
            <w:r w:rsidR="000351E7" w:rsidRPr="00071135">
              <w:rPr>
                <w:rFonts w:ascii="Trebuchet MS" w:eastAsia="Times New Roman" w:hAnsi="Trebuchet MS" w:cs="Times New Roman"/>
                <w:lang w:val="ro-RO" w:eastAsia="en-GB"/>
              </w:rPr>
              <w:t xml:space="preserve">Hibrid (bazat pe management și pe rezultate) </w:t>
            </w:r>
          </w:p>
          <w:p w:rsidR="000351E7" w:rsidRPr="00071135" w:rsidRDefault="000351E7" w:rsidP="0058717F">
            <w:pPr>
              <w:keepNext/>
              <w:spacing w:before="120" w:after="120"/>
              <w:jc w:val="both"/>
              <w:rPr>
                <w:rFonts w:ascii="Trebuchet MS" w:eastAsia="Times New Roman" w:hAnsi="Trebuchet MS" w:cs="Times New Roman"/>
                <w:b/>
                <w:lang w:val="ro-RO" w:eastAsia="en-GB"/>
              </w:rPr>
            </w:pPr>
            <w:r w:rsidRPr="00071135">
              <w:rPr>
                <w:rFonts w:ascii="Trebuchet MS" w:eastAsia="Times New Roman" w:hAnsi="Trebuchet MS" w:cs="Times New Roman"/>
                <w:b/>
                <w:bCs/>
                <w:lang w:val="ro-RO" w:eastAsia="en-GB"/>
              </w:rPr>
              <w:t>Explicații privind obligațiile/posibilitățile beneficiarilor în raport cu angajamentele prevăzute în intervenție</w:t>
            </w:r>
          </w:p>
          <w:p w:rsidR="008E73F0" w:rsidRPr="00071135" w:rsidRDefault="008E73F0" w:rsidP="008E73F0">
            <w:pPr>
              <w:keepNext/>
              <w:tabs>
                <w:tab w:val="num" w:pos="737"/>
              </w:tabs>
              <w:spacing w:before="120" w:after="120"/>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Beneficiarii intervenției trebuie să respecte la nivelul întregii exploatații agricole condițio</w:t>
            </w:r>
            <w:r w:rsidR="00ED67B9" w:rsidRPr="00071135">
              <w:rPr>
                <w:rFonts w:ascii="Trebuchet MS" w:eastAsia="Times New Roman" w:hAnsi="Trebuchet MS" w:cs="Times New Roman"/>
                <w:bCs/>
                <w:lang w:val="ro-RO" w:eastAsia="en-GB"/>
              </w:rPr>
              <w:t>nalitățile stabilite în temeiul</w:t>
            </w:r>
            <w:r w:rsidRPr="00071135">
              <w:rPr>
                <w:rFonts w:ascii="Trebuchet MS" w:eastAsia="Times New Roman" w:hAnsi="Trebuchet MS" w:cs="Times New Roman"/>
                <w:bCs/>
                <w:lang w:val="ro-RO" w:eastAsia="en-GB"/>
              </w:rPr>
              <w:t xml:space="preserve"> Regulamentul</w:t>
            </w:r>
            <w:r w:rsidR="00285B48" w:rsidRPr="00071135">
              <w:rPr>
                <w:rFonts w:ascii="Trebuchet MS" w:eastAsia="Times New Roman" w:hAnsi="Trebuchet MS" w:cs="Times New Roman"/>
                <w:bCs/>
                <w:lang w:val="ro-RO" w:eastAsia="en-GB"/>
              </w:rPr>
              <w:t>ui(UE) 2021/2115</w:t>
            </w:r>
            <w:r w:rsidR="00ED67B9" w:rsidRPr="00071135">
              <w:rPr>
                <w:rFonts w:ascii="Trebuchet MS" w:eastAsia="Times New Roman" w:hAnsi="Trebuchet MS" w:cs="Times New Roman"/>
                <w:bCs/>
                <w:lang w:val="ro-RO" w:eastAsia="en-GB"/>
              </w:rPr>
              <w:t xml:space="preserve"> de stabilire a normelor privind sprijinul pentru planurile strategice care urmează a fi elaborate de statele membre în cadrul politicii agricole comune (planurile strategice PAC)</w:t>
            </w:r>
            <w:r w:rsidRPr="00071135">
              <w:rPr>
                <w:rFonts w:ascii="Trebuchet MS" w:eastAsia="Times New Roman" w:hAnsi="Trebuchet MS" w:cs="Times New Roman"/>
                <w:bCs/>
                <w:lang w:val="ro-RO" w:eastAsia="en-GB"/>
              </w:rPr>
              <w:t xml:space="preserve"> și prevăzute în legislaţia naţională.</w:t>
            </w:r>
          </w:p>
          <w:p w:rsidR="008E73F0" w:rsidRPr="00071135" w:rsidRDefault="008E73F0" w:rsidP="008E73F0">
            <w:pPr>
              <w:keepNext/>
              <w:spacing w:before="120" w:after="120"/>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Cerințele de bază și cerințele specifice se aplică la nivelul întregii exploatații cu angajamente de bunăstare a animalelor.</w:t>
            </w:r>
          </w:p>
          <w:p w:rsidR="00121448" w:rsidRPr="00071135" w:rsidRDefault="00121448" w:rsidP="00121448">
            <w:pPr>
              <w:jc w:val="both"/>
              <w:rPr>
                <w:rFonts w:ascii="Trebuchet MS" w:eastAsia="Times New Roman" w:hAnsi="Trebuchet MS" w:cs="Times New Roman"/>
                <w:bCs/>
                <w:lang w:val="ro-RO" w:eastAsia="en-GB"/>
              </w:rPr>
            </w:pPr>
            <w:r w:rsidRPr="00071135">
              <w:rPr>
                <w:rFonts w:ascii="Trebuchet MS" w:eastAsia="Times New Roman" w:hAnsi="Trebuchet MS" w:cs="Times New Roman"/>
                <w:bCs/>
                <w:lang w:val="ro-RO" w:eastAsia="en-GB"/>
              </w:rPr>
              <w:t>O clauză de revizuire este prevăzută pentru angajamentele încheiate în cadrul acestei intervenții pentru a asigura ajustarea acestora în cazul modificării cerinţelor de bază pe care angajamentele trebuie să le depășească. În cazul în care adaptarea nu este acceptată de beneficiar, angajamentul încetează și rambursarea nu este solicitată pentru perioada în care angajamentul a produs efecte.</w:t>
            </w:r>
          </w:p>
          <w:p w:rsidR="008E73F0" w:rsidRPr="00071135" w:rsidRDefault="008E73F0" w:rsidP="008E73F0">
            <w:pPr>
              <w:keepNext/>
              <w:spacing w:before="120" w:after="120"/>
              <w:jc w:val="both"/>
              <w:rPr>
                <w:rFonts w:ascii="Trebuchet MS" w:eastAsia="Times New Roman" w:hAnsi="Trebuchet MS" w:cs="Times New Roman"/>
                <w:bCs/>
                <w:lang w:val="ro-RO" w:eastAsia="en-GB"/>
              </w:rPr>
            </w:pPr>
          </w:p>
          <w:p w:rsidR="00621251" w:rsidRPr="00071135" w:rsidRDefault="00621251" w:rsidP="0058717F">
            <w:pPr>
              <w:keepNext/>
              <w:spacing w:before="120" w:after="120"/>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Durata angajamentului</w:t>
            </w:r>
          </w:p>
          <w:p w:rsidR="00621251" w:rsidRPr="00071135" w:rsidRDefault="008E73F0" w:rsidP="0058717F">
            <w:pPr>
              <w:keepNext/>
              <w:spacing w:before="120" w:after="120"/>
              <w:jc w:val="both"/>
              <w:rPr>
                <w:rFonts w:ascii="Trebuchet MS" w:eastAsia="Times New Roman" w:hAnsi="Trebuchet MS" w:cs="Times New Roman"/>
                <w:lang w:val="ro-RO" w:eastAsia="en-GB"/>
              </w:rPr>
            </w:pPr>
            <w:r w:rsidRPr="00071135">
              <w:rPr>
                <w:rFonts w:ascii="Trebuchet MS" w:hAnsi="Trebuchet MS"/>
                <w:bCs/>
                <w:lang w:val="ro-RO"/>
              </w:rPr>
              <w:t xml:space="preserve">Durata angajamentului de asigurare a condițiilor superioare de bunăstare a animalelor este de 1 an </w:t>
            </w:r>
            <w:r w:rsidR="00621251" w:rsidRPr="00071135">
              <w:rPr>
                <w:rFonts w:ascii="Trebuchet MS" w:hAnsi="Trebuchet MS"/>
                <w:bCs/>
                <w:lang w:val="ro-RO"/>
              </w:rPr>
              <w:t>.</w:t>
            </w:r>
          </w:p>
        </w:tc>
      </w:tr>
    </w:tbl>
    <w:p w:rsidR="00F74CD9" w:rsidRPr="00071135" w:rsidRDefault="00F74CD9" w:rsidP="00420A83">
      <w:pPr>
        <w:keepNext/>
        <w:spacing w:before="120" w:after="120" w:line="240" w:lineRule="auto"/>
        <w:jc w:val="both"/>
        <w:rPr>
          <w:rFonts w:ascii="Trebuchet MS" w:eastAsia="Times New Roman" w:hAnsi="Trebuchet MS" w:cs="Times New Roman"/>
          <w:b/>
          <w:bCs/>
          <w:lang w:val="ro-RO" w:eastAsia="en-GB"/>
        </w:rPr>
      </w:pPr>
    </w:p>
    <w:p w:rsidR="001B426C" w:rsidRPr="00071135" w:rsidRDefault="0056483A"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10. </w:t>
      </w:r>
      <w:r w:rsidR="00621251" w:rsidRPr="00071135">
        <w:rPr>
          <w:rFonts w:ascii="Trebuchet MS" w:eastAsia="Times New Roman" w:hAnsi="Trebuchet MS" w:cs="Times New Roman"/>
          <w:b/>
          <w:bCs/>
          <w:lang w:val="ro-RO" w:eastAsia="en-GB"/>
        </w:rPr>
        <w:t>C</w:t>
      </w:r>
      <w:r w:rsidR="00E86583" w:rsidRPr="00071135">
        <w:rPr>
          <w:rFonts w:ascii="Trebuchet MS" w:eastAsia="Times New Roman" w:hAnsi="Trebuchet MS" w:cs="Times New Roman"/>
          <w:b/>
          <w:bCs/>
          <w:lang w:val="ro-RO" w:eastAsia="en-GB"/>
        </w:rPr>
        <w:t>onformit</w:t>
      </w:r>
      <w:r w:rsidRPr="00071135">
        <w:rPr>
          <w:rFonts w:ascii="Trebuchet MS" w:eastAsia="Times New Roman" w:hAnsi="Trebuchet MS" w:cs="Times New Roman"/>
          <w:b/>
          <w:bCs/>
          <w:lang w:val="ro-RO" w:eastAsia="en-GB"/>
        </w:rPr>
        <w:t>atea</w:t>
      </w:r>
      <w:r w:rsidR="00E86583" w:rsidRPr="00071135">
        <w:rPr>
          <w:rFonts w:ascii="Trebuchet MS" w:eastAsia="Times New Roman" w:hAnsi="Trebuchet MS" w:cs="Times New Roman"/>
          <w:b/>
          <w:bCs/>
          <w:lang w:val="ro-RO" w:eastAsia="en-GB"/>
        </w:rPr>
        <w:t xml:space="preserve"> cu regulile </w:t>
      </w:r>
      <w:r w:rsidR="000677F4" w:rsidRPr="00071135">
        <w:rPr>
          <w:rFonts w:ascii="Trebuchet MS" w:eastAsia="Times New Roman" w:hAnsi="Trebuchet MS" w:cs="Times New Roman"/>
          <w:b/>
          <w:bCs/>
          <w:lang w:val="ro-RO" w:eastAsia="en-GB"/>
        </w:rPr>
        <w:t>OMC</w:t>
      </w:r>
    </w:p>
    <w:tbl>
      <w:tblPr>
        <w:tblStyle w:val="TableGrid"/>
        <w:tblW w:w="5000" w:type="pct"/>
        <w:tblLook w:val="04A0" w:firstRow="1" w:lastRow="0" w:firstColumn="1" w:lastColumn="0" w:noHBand="0" w:noVBand="1"/>
      </w:tblPr>
      <w:tblGrid>
        <w:gridCol w:w="9911"/>
      </w:tblGrid>
      <w:tr w:rsidR="0056483A" w:rsidRPr="00071135" w:rsidTr="000E15D8">
        <w:tc>
          <w:tcPr>
            <w:tcW w:w="5000" w:type="pct"/>
          </w:tcPr>
          <w:p w:rsidR="0056483A" w:rsidRPr="00071135" w:rsidRDefault="0056483A" w:rsidP="00420A83">
            <w:pPr>
              <w:tabs>
                <w:tab w:val="left" w:pos="2302"/>
              </w:tabs>
              <w:spacing w:after="120"/>
              <w:jc w:val="both"/>
              <w:rPr>
                <w:rFonts w:ascii="Trebuchet MS" w:eastAsia="Times New Roman" w:hAnsi="Trebuchet MS" w:cs="Times New Roman"/>
                <w:lang w:val="ro-RO"/>
              </w:rPr>
            </w:pPr>
            <w:bookmarkStart w:id="365" w:name="_Hlk87379576"/>
            <w:r w:rsidRPr="00071135">
              <w:rPr>
                <w:rFonts w:ascii="Trebuchet MS" w:eastAsia="Times New Roman" w:hAnsi="Trebuchet MS" w:cs="Times New Roman"/>
                <w:lang w:val="ro-RO"/>
              </w:rPr>
              <w:t>Intervenția se încadrează în „cutia verde” – conform celor prevăzute la secțiunea ”</w:t>
            </w:r>
            <w:r w:rsidRPr="00071135">
              <w:rPr>
                <w:rFonts w:ascii="Trebuchet MS" w:eastAsia="Times New Roman" w:hAnsi="Trebuchet MS" w:cs="Times New Roman"/>
                <w:i/>
                <w:iCs/>
                <w:lang w:val="ro-RO"/>
              </w:rPr>
              <w:t>Form and rate of support/premia/calculation methods</w:t>
            </w:r>
            <w:r w:rsidRPr="00071135">
              <w:rPr>
                <w:rFonts w:ascii="Trebuchet MS" w:eastAsia="Times New Roman" w:hAnsi="Trebuchet MS" w:cs="Times New Roman"/>
                <w:lang w:val="ro-RO"/>
              </w:rPr>
              <w:t>”.</w:t>
            </w:r>
          </w:p>
        </w:tc>
      </w:tr>
    </w:tbl>
    <w:p w:rsidR="00584CE7" w:rsidRPr="00071135" w:rsidRDefault="00584CE7" w:rsidP="00DF48FF"/>
    <w:p w:rsidR="00584CE7" w:rsidRPr="00071135" w:rsidRDefault="0056483A"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 xml:space="preserve">11. </w:t>
      </w:r>
      <w:r w:rsidR="00AD58C3" w:rsidRPr="00071135">
        <w:rPr>
          <w:rFonts w:ascii="Trebuchet MS" w:eastAsia="Times New Roman" w:hAnsi="Trebuchet MS" w:cs="Times New Roman"/>
          <w:b/>
          <w:bCs/>
          <w:lang w:val="ro-RO" w:eastAsia="en-GB"/>
        </w:rPr>
        <w:t>Intensitatea</w:t>
      </w:r>
      <w:r w:rsidRPr="00071135">
        <w:rPr>
          <w:rFonts w:ascii="Trebuchet MS" w:eastAsia="Times New Roman" w:hAnsi="Trebuchet MS" w:cs="Times New Roman"/>
          <w:b/>
          <w:bCs/>
          <w:lang w:val="ro-RO" w:eastAsia="en-GB"/>
        </w:rPr>
        <w:t xml:space="preserve"> spr</w:t>
      </w:r>
      <w:r w:rsidR="00AD58C3" w:rsidRPr="00071135">
        <w:rPr>
          <w:rFonts w:ascii="Trebuchet MS" w:eastAsia="Times New Roman" w:hAnsi="Trebuchet MS" w:cs="Times New Roman"/>
          <w:b/>
          <w:bCs/>
          <w:lang w:val="ro-RO" w:eastAsia="en-GB"/>
        </w:rPr>
        <w:t>i</w:t>
      </w:r>
      <w:r w:rsidRPr="00071135">
        <w:rPr>
          <w:rFonts w:ascii="Trebuchet MS" w:eastAsia="Times New Roman" w:hAnsi="Trebuchet MS" w:cs="Times New Roman"/>
          <w:b/>
          <w:bCs/>
          <w:lang w:val="ro-RO" w:eastAsia="en-GB"/>
        </w:rPr>
        <w:t xml:space="preserve">jinului aplicabilă intervenției </w:t>
      </w:r>
    </w:p>
    <w:p w:rsidR="00723FCE" w:rsidRPr="00071135" w:rsidRDefault="00723FCE" w:rsidP="00723FCE">
      <w:pPr>
        <w:spacing w:before="20" w:after="20"/>
        <w:rPr>
          <w:lang w:val="ro-RO"/>
        </w:rPr>
      </w:pPr>
      <w:r w:rsidRPr="00071135">
        <w:rPr>
          <w:lang w:val="ro-RO"/>
        </w:rPr>
        <w:t>91(2)(a)-RO-85,00%</w:t>
      </w:r>
    </w:p>
    <w:p w:rsidR="00723FCE" w:rsidRPr="00071135" w:rsidRDefault="00723FCE" w:rsidP="00723FCE">
      <w:pPr>
        <w:keepNext/>
        <w:spacing w:before="120" w:after="120" w:line="240" w:lineRule="auto"/>
        <w:jc w:val="both"/>
        <w:rPr>
          <w:lang w:val="ro-RO"/>
        </w:rPr>
      </w:pPr>
      <w:r w:rsidRPr="00071135">
        <w:rPr>
          <w:lang w:val="ro-RO"/>
        </w:rPr>
        <w:t>91(3)(b)-RO-80,00%</w:t>
      </w:r>
    </w:p>
    <w:p w:rsidR="00723FCE" w:rsidRPr="00071135" w:rsidRDefault="00723FCE" w:rsidP="00723FCE">
      <w:pPr>
        <w:keepNext/>
        <w:spacing w:before="120" w:after="120" w:line="240" w:lineRule="auto"/>
        <w:jc w:val="both"/>
        <w:rPr>
          <w:rFonts w:ascii="Trebuchet MS" w:eastAsia="Times New Roman" w:hAnsi="Trebuchet MS" w:cs="Times New Roman"/>
          <w:b/>
          <w:bCs/>
          <w:lang w:val="ro-RO" w:eastAsia="en-GB"/>
        </w:rPr>
      </w:pPr>
    </w:p>
    <w:p w:rsidR="00AD58C3" w:rsidRPr="00071135" w:rsidRDefault="00AD58C3" w:rsidP="00420A83">
      <w:pPr>
        <w:keepNext/>
        <w:spacing w:before="120" w:after="120" w:line="240" w:lineRule="auto"/>
        <w:jc w:val="both"/>
        <w:rPr>
          <w:rFonts w:ascii="Trebuchet MS" w:eastAsia="Times New Roman" w:hAnsi="Trebuchet MS" w:cs="Times New Roman"/>
          <w:b/>
          <w:bCs/>
          <w:lang w:val="ro-RO" w:eastAsia="en-GB"/>
        </w:rPr>
      </w:pPr>
      <w:r w:rsidRPr="00071135">
        <w:rPr>
          <w:rFonts w:ascii="Trebuchet MS" w:eastAsia="Times New Roman" w:hAnsi="Trebuchet MS" w:cs="Times New Roman"/>
          <w:b/>
          <w:bCs/>
          <w:lang w:val="ro-RO" w:eastAsia="en-GB"/>
        </w:rPr>
        <w:t>1</w:t>
      </w:r>
      <w:r w:rsidR="00575B0C" w:rsidRPr="00071135">
        <w:rPr>
          <w:rFonts w:ascii="Trebuchet MS" w:eastAsia="Times New Roman" w:hAnsi="Trebuchet MS" w:cs="Times New Roman"/>
          <w:b/>
          <w:bCs/>
          <w:lang w:val="ro-RO" w:eastAsia="en-GB"/>
        </w:rPr>
        <w:t>2</w:t>
      </w:r>
      <w:r w:rsidRPr="00071135">
        <w:rPr>
          <w:rFonts w:ascii="Trebuchet MS" w:eastAsia="Times New Roman" w:hAnsi="Trebuchet MS" w:cs="Times New Roman"/>
          <w:b/>
          <w:bCs/>
          <w:lang w:val="ro-RO" w:eastAsia="en-GB"/>
        </w:rPr>
        <w:t xml:space="preserve">. Cuantum unitar planificat </w:t>
      </w:r>
      <w:r w:rsidR="00723FCE" w:rsidRPr="00071135">
        <w:rPr>
          <w:rFonts w:ascii="Trebuchet MS" w:eastAsia="Times New Roman" w:hAnsi="Trebuchet MS" w:cs="Times New Roman"/>
          <w:b/>
          <w:bCs/>
          <w:lang w:val="ro-RO" w:eastAsia="en-GB"/>
        </w:rPr>
        <w:t>–</w:t>
      </w:r>
      <w:r w:rsidRPr="00071135">
        <w:rPr>
          <w:rFonts w:ascii="Trebuchet MS" w:eastAsia="Times New Roman" w:hAnsi="Trebuchet MS" w:cs="Times New Roman"/>
          <w:b/>
          <w:bCs/>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36"/>
        <w:gridCol w:w="1228"/>
        <w:gridCol w:w="1927"/>
        <w:gridCol w:w="1236"/>
        <w:gridCol w:w="1418"/>
        <w:gridCol w:w="1741"/>
      </w:tblGrid>
      <w:tr w:rsidR="00071135" w:rsidRPr="00071135" w:rsidTr="00AD2261">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b/>
                <w:lang w:val="ro-RO"/>
              </w:rPr>
            </w:pPr>
            <w:r w:rsidRPr="00071135">
              <w:rPr>
                <w:b/>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AD2261" w:rsidRPr="00071135" w:rsidRDefault="00AD2261" w:rsidP="00AD2261">
            <w:pPr>
              <w:spacing w:before="20" w:after="20"/>
              <w:rPr>
                <w:lang w:val="ro-RO"/>
              </w:rPr>
            </w:pPr>
            <w:r w:rsidRPr="00071135">
              <w:rPr>
                <w:b/>
                <w:lang w:val="ro-RO"/>
              </w:rPr>
              <w:t>Indicator(i) de rezultat</w:t>
            </w:r>
          </w:p>
        </w:tc>
      </w:tr>
      <w:tr w:rsidR="00071135" w:rsidRPr="00071135" w:rsidTr="00AD2261">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r w:rsidRPr="00071135">
              <w:rPr>
                <w:lang w:val="ro-RO"/>
              </w:rPr>
              <w:t>001 – plata medie pe UVM</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r w:rsidRPr="00071135">
              <w:rPr>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r w:rsidRPr="00071135">
              <w:rPr>
                <w:lang w:val="ro-RO"/>
              </w:rPr>
              <w:t>91(2)(a)-RO-85,00%</w:t>
            </w:r>
          </w:p>
          <w:p w:rsidR="00723FCE" w:rsidRPr="00071135" w:rsidRDefault="00723FCE" w:rsidP="00D300BB">
            <w:pPr>
              <w:spacing w:before="20" w:after="20"/>
              <w:rPr>
                <w:lang w:val="ro-RO"/>
              </w:rPr>
            </w:pPr>
            <w:r w:rsidRPr="00071135">
              <w:rPr>
                <w:lang w:val="ro-RO"/>
              </w:rPr>
              <w:t>91(3)(b)-RO-80,00%</w:t>
            </w: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r w:rsidRPr="00071135">
              <w:rPr>
                <w:lang w:val="ro-RO"/>
              </w:rPr>
              <w:t>Medie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23FCE" w:rsidRPr="00071135" w:rsidRDefault="00723FCE" w:rsidP="00D300BB">
            <w:pPr>
              <w:spacing w:before="20" w:after="20"/>
              <w:rPr>
                <w:lang w:val="ro-RO"/>
              </w:rPr>
            </w:pPr>
            <w:r w:rsidRPr="00071135">
              <w:rPr>
                <w:lang w:val="ro-RO"/>
              </w:rPr>
              <w:t>R.13; R.</w:t>
            </w:r>
            <w:r w:rsidR="002B7F1C" w:rsidRPr="00071135">
              <w:rPr>
                <w:lang w:val="ro-RO"/>
              </w:rPr>
              <w:t>25;</w:t>
            </w:r>
            <w:r w:rsidRPr="00071135">
              <w:rPr>
                <w:lang w:val="ro-RO"/>
              </w:rPr>
              <w:t xml:space="preserve"> R.44</w:t>
            </w:r>
          </w:p>
        </w:tc>
      </w:tr>
    </w:tbl>
    <w:p w:rsidR="00AD2261" w:rsidRPr="00071135" w:rsidRDefault="00AD2261" w:rsidP="00AD2261">
      <w:pPr>
        <w:spacing w:before="20" w:after="20"/>
        <w:rPr>
          <w:lang w:val="ro-RO"/>
        </w:rPr>
      </w:pPr>
      <w:r w:rsidRPr="00071135">
        <w:rPr>
          <w:lang w:val="ro-RO"/>
        </w:rPr>
        <w:t>Explicații și justificări legate de valoarea cuantumului unitar planificat</w:t>
      </w:r>
    </w:p>
    <w:p w:rsidR="00723FCE" w:rsidRPr="00071135" w:rsidRDefault="00723FCE" w:rsidP="00723FCE">
      <w:pPr>
        <w:spacing w:before="20" w:after="20"/>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1"/>
      </w:tblGrid>
      <w:tr w:rsidR="00723FCE" w:rsidRPr="00071135" w:rsidTr="00D300B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23FCE" w:rsidRPr="00071135" w:rsidRDefault="00723FCE" w:rsidP="00D300BB">
            <w:pPr>
              <w:spacing w:before="40" w:after="40"/>
              <w:rPr>
                <w:lang w:val="ro-RO"/>
              </w:rPr>
            </w:pPr>
            <w:r w:rsidRPr="00071135">
              <w:rPr>
                <w:lang w:val="ro-RO"/>
              </w:rPr>
              <w:t>Platile compensatorii reprezintă 100% sprijin public nerambursabil. Plăţile compensatorii propuse se acordă pe UVM pentru fiecare subpachet și categorie de animale pe ciclu de producție sau pe an</w:t>
            </w:r>
          </w:p>
        </w:tc>
      </w:tr>
    </w:tbl>
    <w:p w:rsidR="00723FCE" w:rsidRPr="00071135" w:rsidRDefault="00723FCE" w:rsidP="00723FCE">
      <w:pPr>
        <w:rPr>
          <w:lang w:val="ro-RO"/>
        </w:rPr>
      </w:pPr>
    </w:p>
    <w:p w:rsidR="00584CE7" w:rsidRPr="00071135" w:rsidRDefault="00575B0C" w:rsidP="00420A83">
      <w:pPr>
        <w:keepNext/>
        <w:spacing w:before="120" w:after="120" w:line="240" w:lineRule="auto"/>
        <w:jc w:val="both"/>
        <w:rPr>
          <w:rFonts w:ascii="Trebuchet MS" w:eastAsia="Times New Roman" w:hAnsi="Trebuchet MS" w:cs="Times New Roman"/>
          <w:b/>
          <w:bCs/>
          <w:lang w:val="ro-RO" w:eastAsia="en-GB"/>
        </w:rPr>
      </w:pPr>
      <w:bookmarkStart w:id="366" w:name="_Toc77173509"/>
      <w:bookmarkStart w:id="367" w:name="_Toc77675108"/>
      <w:bookmarkStart w:id="368" w:name="_Toc78293408"/>
      <w:bookmarkStart w:id="369" w:name="_Toc78296351"/>
      <w:bookmarkStart w:id="370" w:name="_Toc78379356"/>
      <w:bookmarkStart w:id="371" w:name="_Toc78385008"/>
      <w:bookmarkStart w:id="372" w:name="_Toc78389868"/>
      <w:bookmarkStart w:id="373" w:name="_Toc81568697"/>
      <w:bookmarkStart w:id="374" w:name="_Toc81569485"/>
      <w:bookmarkStart w:id="375" w:name="_Toc81572470"/>
      <w:r w:rsidRPr="00071135">
        <w:rPr>
          <w:rFonts w:ascii="Trebuchet MS" w:eastAsia="Times New Roman" w:hAnsi="Trebuchet MS" w:cs="Times New Roman"/>
          <w:b/>
          <w:bCs/>
          <w:lang w:val="ro-RO" w:eastAsia="en-GB"/>
        </w:rPr>
        <w:t xml:space="preserve">13. Tabel financiar cu rezultate </w:t>
      </w: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932"/>
        <w:gridCol w:w="660"/>
        <w:gridCol w:w="1005"/>
        <w:gridCol w:w="1005"/>
        <w:gridCol w:w="1067"/>
        <w:gridCol w:w="1010"/>
        <w:gridCol w:w="1004"/>
        <w:gridCol w:w="659"/>
        <w:gridCol w:w="1210"/>
      </w:tblGrid>
      <w:tr w:rsidR="00071135" w:rsidRPr="00071135" w:rsidTr="00AD2261">
        <w:trPr>
          <w:trHeight w:val="160"/>
        </w:trPr>
        <w:tc>
          <w:tcPr>
            <w:tcW w:w="109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t>Cuantum unitar planificat</w:t>
            </w:r>
          </w:p>
        </w:tc>
        <w:tc>
          <w:tcPr>
            <w:tcW w:w="193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An financiar</w:t>
            </w:r>
            <w:r w:rsidR="00723FCE" w:rsidRPr="00071135">
              <w:rPr>
                <w:b/>
                <w:sz w:val="20"/>
                <w:szCs w:val="20"/>
                <w:lang w:val="ro-RO"/>
              </w:rPr>
              <w:t xml:space="preserve"> - Porc - porc gras</w:t>
            </w:r>
          </w:p>
        </w:tc>
        <w:tc>
          <w:tcPr>
            <w:tcW w:w="66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10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10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6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10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10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65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2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0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193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66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c>
          <w:tcPr>
            <w:tcW w:w="10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c>
          <w:tcPr>
            <w:tcW w:w="10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c>
          <w:tcPr>
            <w:tcW w:w="6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40,1</w:t>
            </w:r>
          </w:p>
        </w:tc>
      </w:tr>
      <w:tr w:rsidR="00071135" w:rsidRPr="00071135" w:rsidTr="00AD2261">
        <w:trPr>
          <w:trHeight w:val="425"/>
        </w:trPr>
        <w:tc>
          <w:tcPr>
            <w:tcW w:w="109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66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c>
          <w:tcPr>
            <w:tcW w:w="10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c>
          <w:tcPr>
            <w:tcW w:w="10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c>
          <w:tcPr>
            <w:tcW w:w="6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46,1</w:t>
            </w:r>
          </w:p>
        </w:tc>
      </w:tr>
      <w:tr w:rsidR="00071135" w:rsidRPr="00071135" w:rsidTr="00AD2261">
        <w:trPr>
          <w:trHeight w:val="160"/>
        </w:trPr>
        <w:tc>
          <w:tcPr>
            <w:tcW w:w="109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rPr>
                <w:sz w:val="20"/>
                <w:szCs w:val="20"/>
                <w:lang w:val="ro-RO"/>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rPr>
                <w:sz w:val="20"/>
                <w:szCs w:val="20"/>
                <w:lang w:val="ro-RO"/>
              </w:rPr>
            </w:pPr>
            <w:r w:rsidRPr="00071135">
              <w:rPr>
                <w:sz w:val="20"/>
                <w:szCs w:val="20"/>
                <w:lang w:val="ro-RO"/>
              </w:rPr>
              <w:t>O.18 (unit</w:t>
            </w:r>
            <w:r w:rsidR="00AD2261" w:rsidRPr="00071135">
              <w:rPr>
                <w:sz w:val="20"/>
                <w:szCs w:val="20"/>
                <w:lang w:val="ro-RO"/>
              </w:rPr>
              <w:t>ate</w:t>
            </w:r>
            <w:r w:rsidRPr="00071135">
              <w:rPr>
                <w:sz w:val="20"/>
                <w:szCs w:val="20"/>
                <w:lang w:val="ro-RO"/>
              </w:rPr>
              <w:t>: UVM)</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r>
      <w:tr w:rsidR="00071135" w:rsidRPr="00071135" w:rsidTr="00AD2261">
        <w:trPr>
          <w:trHeight w:val="296"/>
        </w:trPr>
        <w:tc>
          <w:tcPr>
            <w:tcW w:w="1090"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rPr>
                <w:sz w:val="20"/>
                <w:szCs w:val="20"/>
                <w:lang w:val="ro-RO"/>
              </w:rPr>
            </w:pPr>
            <w:r w:rsidRPr="00071135">
              <w:rPr>
                <w:sz w:val="20"/>
                <w:szCs w:val="20"/>
                <w:lang w:val="ro-RO"/>
              </w:rPr>
              <w:t>TOTAL</w:t>
            </w:r>
          </w:p>
        </w:tc>
        <w:tc>
          <w:tcPr>
            <w:tcW w:w="19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rPr>
                <w:sz w:val="20"/>
                <w:szCs w:val="20"/>
                <w:lang w:val="ro-RO"/>
              </w:rPr>
            </w:pPr>
            <w:r w:rsidRPr="00071135">
              <w:rPr>
                <w:sz w:val="20"/>
                <w:szCs w:val="20"/>
                <w:lang w:val="ro-RO"/>
              </w:rPr>
              <w:t>O.18 (unit</w:t>
            </w:r>
            <w:r w:rsidR="00AD2261" w:rsidRPr="00071135">
              <w:rPr>
                <w:sz w:val="20"/>
                <w:szCs w:val="20"/>
                <w:lang w:val="ro-RO"/>
              </w:rPr>
              <w:t>ate</w:t>
            </w:r>
            <w:r w:rsidRPr="00071135">
              <w:rPr>
                <w:sz w:val="20"/>
                <w:szCs w:val="20"/>
                <w:lang w:val="ro-RO"/>
              </w:rPr>
              <w:t>: UVM)</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10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23FCE" w:rsidRPr="00071135" w:rsidRDefault="00723FCE" w:rsidP="00D300BB">
            <w:pPr>
              <w:spacing w:before="20" w:after="20"/>
              <w:jc w:val="right"/>
              <w:rPr>
                <w:sz w:val="20"/>
                <w:szCs w:val="20"/>
                <w:lang w:val="ro-RO"/>
              </w:rPr>
            </w:pPr>
            <w:r w:rsidRPr="00071135">
              <w:rPr>
                <w:sz w:val="20"/>
                <w:szCs w:val="20"/>
                <w:lang w:val="ro-RO"/>
              </w:rPr>
              <w:t>1.386.096</w:t>
            </w:r>
          </w:p>
        </w:tc>
      </w:tr>
      <w:tr w:rsidR="00071135" w:rsidRPr="00071135" w:rsidTr="00AD2261">
        <w:trPr>
          <w:trHeight w:val="160"/>
        </w:trPr>
        <w:tc>
          <w:tcPr>
            <w:tcW w:w="1090"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55.629.970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55.629.970</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55.629.970</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55.629.970</w:t>
            </w:r>
          </w:p>
        </w:tc>
        <w:tc>
          <w:tcPr>
            <w:tcW w:w="10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55.629.970</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278.149.850</w:t>
            </w:r>
          </w:p>
        </w:tc>
      </w:tr>
      <w:tr w:rsidR="00071135" w:rsidRPr="00071135" w:rsidTr="00AD2261">
        <w:trPr>
          <w:trHeight w:val="160"/>
        </w:trPr>
        <w:tc>
          <w:tcPr>
            <w:tcW w:w="1090"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47.188.373</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47.188.373</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47.188.373</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47.188.373</w:t>
            </w:r>
          </w:p>
        </w:tc>
        <w:tc>
          <w:tcPr>
            <w:tcW w:w="10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47.188.373</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235.941.866</w:t>
            </w:r>
          </w:p>
        </w:tc>
      </w:tr>
    </w:tbl>
    <w:p w:rsidR="00723FCE" w:rsidRPr="00071135" w:rsidRDefault="00723FCE" w:rsidP="00723FCE">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990"/>
        <w:gridCol w:w="675"/>
        <w:gridCol w:w="1010"/>
        <w:gridCol w:w="1010"/>
        <w:gridCol w:w="1075"/>
        <w:gridCol w:w="1013"/>
        <w:gridCol w:w="1009"/>
        <w:gridCol w:w="674"/>
        <w:gridCol w:w="1154"/>
      </w:tblGrid>
      <w:tr w:rsidR="00071135" w:rsidRPr="00071135" w:rsidTr="00AD2261">
        <w:trPr>
          <w:trHeight w:val="160"/>
        </w:trPr>
        <w:tc>
          <w:tcPr>
            <w:tcW w:w="103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t>Cuantum unitar planificat</w:t>
            </w:r>
          </w:p>
        </w:tc>
        <w:tc>
          <w:tcPr>
            <w:tcW w:w="199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 xml:space="preserve">An financiar </w:t>
            </w:r>
            <w:r w:rsidR="00723FCE" w:rsidRPr="00071135">
              <w:rPr>
                <w:b/>
                <w:sz w:val="20"/>
                <w:szCs w:val="20"/>
                <w:lang w:val="ro-RO"/>
              </w:rPr>
              <w:t>- Porc - animale reproductie</w:t>
            </w:r>
          </w:p>
        </w:tc>
        <w:tc>
          <w:tcPr>
            <w:tcW w:w="6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10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10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101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100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67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15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032"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19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67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c>
          <w:tcPr>
            <w:tcW w:w="107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c>
          <w:tcPr>
            <w:tcW w:w="101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c>
          <w:tcPr>
            <w:tcW w:w="100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c>
          <w:tcPr>
            <w:tcW w:w="67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5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194,9</w:t>
            </w:r>
          </w:p>
        </w:tc>
      </w:tr>
      <w:tr w:rsidR="00071135" w:rsidRPr="00071135" w:rsidTr="00AD2261">
        <w:trPr>
          <w:trHeight w:val="425"/>
        </w:trPr>
        <w:tc>
          <w:tcPr>
            <w:tcW w:w="103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67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c>
          <w:tcPr>
            <w:tcW w:w="107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c>
          <w:tcPr>
            <w:tcW w:w="101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c>
          <w:tcPr>
            <w:tcW w:w="100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c>
          <w:tcPr>
            <w:tcW w:w="67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5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258,5</w:t>
            </w:r>
          </w:p>
        </w:tc>
      </w:tr>
      <w:tr w:rsidR="00071135" w:rsidRPr="00071135" w:rsidTr="00AD2261">
        <w:trPr>
          <w:trHeight w:val="160"/>
        </w:trPr>
        <w:tc>
          <w:tcPr>
            <w:tcW w:w="103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1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67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r>
      <w:tr w:rsidR="00071135" w:rsidRPr="00071135" w:rsidTr="00AD2261">
        <w:trPr>
          <w:trHeight w:val="296"/>
        </w:trPr>
        <w:tc>
          <w:tcPr>
            <w:tcW w:w="1032"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TOTAL</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1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c>
          <w:tcPr>
            <w:tcW w:w="67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73.957</w:t>
            </w:r>
          </w:p>
        </w:tc>
      </w:tr>
      <w:tr w:rsidR="00071135" w:rsidRPr="00071135" w:rsidTr="00AD2261">
        <w:trPr>
          <w:trHeight w:val="160"/>
        </w:trPr>
        <w:tc>
          <w:tcPr>
            <w:tcW w:w="1032"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14.416.391</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14.416.391</w:t>
            </w:r>
          </w:p>
        </w:tc>
        <w:tc>
          <w:tcPr>
            <w:tcW w:w="10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14.416.391</w:t>
            </w:r>
          </w:p>
        </w:tc>
        <w:tc>
          <w:tcPr>
            <w:tcW w:w="101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14.416.391</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14.416.391</w:t>
            </w:r>
          </w:p>
        </w:tc>
        <w:tc>
          <w:tcPr>
            <w:tcW w:w="67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72.081.956</w:t>
            </w:r>
          </w:p>
        </w:tc>
      </w:tr>
      <w:tr w:rsidR="00071135" w:rsidRPr="00071135" w:rsidTr="00AD2261">
        <w:trPr>
          <w:trHeight w:val="160"/>
        </w:trPr>
        <w:tc>
          <w:tcPr>
            <w:tcW w:w="1032"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12.228.769</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12.228.769</w:t>
            </w:r>
          </w:p>
        </w:tc>
        <w:tc>
          <w:tcPr>
            <w:tcW w:w="10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12.228.769</w:t>
            </w:r>
          </w:p>
        </w:tc>
        <w:tc>
          <w:tcPr>
            <w:tcW w:w="101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12.228.769</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12.228.769</w:t>
            </w:r>
          </w:p>
        </w:tc>
        <w:tc>
          <w:tcPr>
            <w:tcW w:w="67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61.143.845</w:t>
            </w:r>
          </w:p>
        </w:tc>
      </w:tr>
    </w:tbl>
    <w:p w:rsidR="00723FCE" w:rsidRPr="00071135" w:rsidRDefault="00723FCE" w:rsidP="00723FCE">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931"/>
        <w:gridCol w:w="661"/>
        <w:gridCol w:w="1005"/>
        <w:gridCol w:w="1005"/>
        <w:gridCol w:w="1067"/>
        <w:gridCol w:w="1010"/>
        <w:gridCol w:w="1005"/>
        <w:gridCol w:w="659"/>
        <w:gridCol w:w="1210"/>
      </w:tblGrid>
      <w:tr w:rsidR="00071135" w:rsidRPr="00071135" w:rsidTr="00AD2261">
        <w:trPr>
          <w:trHeight w:val="160"/>
        </w:trPr>
        <w:tc>
          <w:tcPr>
            <w:tcW w:w="108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t>Cuantum unitar planificat</w:t>
            </w:r>
          </w:p>
        </w:tc>
        <w:tc>
          <w:tcPr>
            <w:tcW w:w="193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 xml:space="preserve">An financiar </w:t>
            </w:r>
            <w:r w:rsidR="00723FCE" w:rsidRPr="00071135">
              <w:rPr>
                <w:b/>
                <w:sz w:val="20"/>
                <w:szCs w:val="20"/>
                <w:lang w:val="ro-RO"/>
              </w:rPr>
              <w:t>- Pasare  - pui de carne</w:t>
            </w:r>
          </w:p>
        </w:tc>
        <w:tc>
          <w:tcPr>
            <w:tcW w:w="66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10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10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6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10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10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65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21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089"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19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66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c>
          <w:tcPr>
            <w:tcW w:w="10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c>
          <w:tcPr>
            <w:tcW w:w="6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25,7</w:t>
            </w:r>
          </w:p>
        </w:tc>
      </w:tr>
      <w:tr w:rsidR="00071135" w:rsidRPr="00071135" w:rsidTr="00AD2261">
        <w:trPr>
          <w:trHeight w:val="425"/>
        </w:trPr>
        <w:tc>
          <w:tcPr>
            <w:tcW w:w="108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66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26,6 </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26,6</w:t>
            </w:r>
          </w:p>
        </w:tc>
        <w:tc>
          <w:tcPr>
            <w:tcW w:w="10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26,6</w:t>
            </w:r>
          </w:p>
        </w:tc>
        <w:tc>
          <w:tcPr>
            <w:tcW w:w="10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26,6</w:t>
            </w:r>
          </w:p>
        </w:tc>
        <w:tc>
          <w:tcPr>
            <w:tcW w:w="10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26,6</w:t>
            </w:r>
          </w:p>
        </w:tc>
        <w:tc>
          <w:tcPr>
            <w:tcW w:w="6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26,6</w:t>
            </w:r>
          </w:p>
        </w:tc>
      </w:tr>
      <w:tr w:rsidR="00071135" w:rsidRPr="00071135" w:rsidTr="00AD2261">
        <w:trPr>
          <w:trHeight w:val="160"/>
        </w:trPr>
        <w:tc>
          <w:tcPr>
            <w:tcW w:w="108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r>
      <w:tr w:rsidR="00071135" w:rsidRPr="00071135" w:rsidTr="00AD2261">
        <w:trPr>
          <w:trHeight w:val="296"/>
        </w:trPr>
        <w:tc>
          <w:tcPr>
            <w:tcW w:w="1089"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TOTAL</w:t>
            </w:r>
          </w:p>
        </w:tc>
        <w:tc>
          <w:tcPr>
            <w:tcW w:w="19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2.248.579</w:t>
            </w:r>
          </w:p>
        </w:tc>
      </w:tr>
      <w:tr w:rsidR="00071135" w:rsidRPr="00071135" w:rsidTr="00AD2261">
        <w:trPr>
          <w:trHeight w:val="160"/>
        </w:trPr>
        <w:tc>
          <w:tcPr>
            <w:tcW w:w="1089"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57.749.627</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57.749.627</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57.749.627</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57.749.627</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57.749.627</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288.748.137</w:t>
            </w:r>
          </w:p>
        </w:tc>
      </w:tr>
      <w:tr w:rsidR="00071135" w:rsidRPr="00071135" w:rsidTr="00AD2261">
        <w:trPr>
          <w:trHeight w:val="160"/>
        </w:trPr>
        <w:tc>
          <w:tcPr>
            <w:tcW w:w="1089"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48.986.382</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48.986.382</w:t>
            </w:r>
          </w:p>
        </w:tc>
        <w:tc>
          <w:tcPr>
            <w:tcW w:w="10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48.986.382</w:t>
            </w:r>
          </w:p>
        </w:tc>
        <w:tc>
          <w:tcPr>
            <w:tcW w:w="10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48.986.382</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48.986.382</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21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244.931.911</w:t>
            </w:r>
          </w:p>
        </w:tc>
      </w:tr>
    </w:tbl>
    <w:p w:rsidR="00723FCE" w:rsidRPr="00071135" w:rsidRDefault="00723FCE" w:rsidP="00723FCE">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2112"/>
        <w:gridCol w:w="706"/>
        <w:gridCol w:w="955"/>
        <w:gridCol w:w="955"/>
        <w:gridCol w:w="1030"/>
        <w:gridCol w:w="960"/>
        <w:gridCol w:w="955"/>
        <w:gridCol w:w="705"/>
        <w:gridCol w:w="1119"/>
      </w:tblGrid>
      <w:tr w:rsidR="00071135" w:rsidRPr="00071135" w:rsidTr="00AD2261">
        <w:trPr>
          <w:trHeight w:val="160"/>
        </w:trPr>
        <w:tc>
          <w:tcPr>
            <w:tcW w:w="114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lastRenderedPageBreak/>
              <w:t>Cuantum unitar planificat</w:t>
            </w:r>
          </w:p>
        </w:tc>
        <w:tc>
          <w:tcPr>
            <w:tcW w:w="211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 xml:space="preserve">An financiar </w:t>
            </w:r>
            <w:r w:rsidR="00723FCE" w:rsidRPr="00071135">
              <w:rPr>
                <w:b/>
                <w:sz w:val="20"/>
                <w:szCs w:val="20"/>
                <w:lang w:val="ro-RO"/>
              </w:rPr>
              <w:t>- Pasare  - pui de curca</w:t>
            </w:r>
          </w:p>
        </w:tc>
        <w:tc>
          <w:tcPr>
            <w:tcW w:w="7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9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9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3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96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9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7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11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14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21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7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c>
          <w:tcPr>
            <w:tcW w:w="103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c>
          <w:tcPr>
            <w:tcW w:w="96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c>
          <w:tcPr>
            <w:tcW w:w="7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33,9</w:t>
            </w:r>
          </w:p>
        </w:tc>
      </w:tr>
      <w:tr w:rsidR="00071135" w:rsidRPr="00071135" w:rsidTr="00AD2261">
        <w:trPr>
          <w:trHeight w:val="425"/>
        </w:trPr>
        <w:tc>
          <w:tcPr>
            <w:tcW w:w="114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1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7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c>
          <w:tcPr>
            <w:tcW w:w="103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c>
          <w:tcPr>
            <w:tcW w:w="96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c>
          <w:tcPr>
            <w:tcW w:w="9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c>
          <w:tcPr>
            <w:tcW w:w="70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35,2</w:t>
            </w:r>
          </w:p>
        </w:tc>
      </w:tr>
      <w:tr w:rsidR="00071135" w:rsidRPr="00071135" w:rsidTr="00AD2261">
        <w:trPr>
          <w:trHeight w:val="160"/>
        </w:trPr>
        <w:tc>
          <w:tcPr>
            <w:tcW w:w="114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1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r>
      <w:tr w:rsidR="00071135" w:rsidRPr="00071135" w:rsidTr="00AD2261">
        <w:trPr>
          <w:trHeight w:val="296"/>
        </w:trPr>
        <w:tc>
          <w:tcPr>
            <w:tcW w:w="1145"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TOTAL</w:t>
            </w:r>
          </w:p>
        </w:tc>
        <w:tc>
          <w:tcPr>
            <w:tcW w:w="21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46.976</w:t>
            </w:r>
          </w:p>
        </w:tc>
      </w:tr>
      <w:tr w:rsidR="00071135" w:rsidRPr="00071135" w:rsidTr="00AD2261">
        <w:trPr>
          <w:trHeight w:val="160"/>
        </w:trPr>
        <w:tc>
          <w:tcPr>
            <w:tcW w:w="1145"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1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1.591.881</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1.591.881</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1.591.881</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1.591.881</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1.591.881</w:t>
            </w: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7.959.407</w:t>
            </w:r>
          </w:p>
        </w:tc>
      </w:tr>
      <w:tr w:rsidR="00071135" w:rsidRPr="00071135" w:rsidTr="00AD2261">
        <w:trPr>
          <w:trHeight w:val="160"/>
        </w:trPr>
        <w:tc>
          <w:tcPr>
            <w:tcW w:w="1145"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1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1.350.321</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1.350.321</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1.350.321</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1.350.321</w:t>
            </w:r>
          </w:p>
        </w:tc>
        <w:tc>
          <w:tcPr>
            <w:tcW w:w="9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1.350.321</w:t>
            </w:r>
          </w:p>
        </w:tc>
        <w:tc>
          <w:tcPr>
            <w:tcW w:w="7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6.751.603</w:t>
            </w:r>
          </w:p>
        </w:tc>
      </w:tr>
    </w:tbl>
    <w:p w:rsidR="00723FCE" w:rsidRPr="00071135" w:rsidRDefault="00723FCE" w:rsidP="00723FCE">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959"/>
        <w:gridCol w:w="668"/>
        <w:gridCol w:w="1007"/>
        <w:gridCol w:w="1007"/>
        <w:gridCol w:w="1071"/>
        <w:gridCol w:w="1012"/>
        <w:gridCol w:w="1006"/>
        <w:gridCol w:w="667"/>
        <w:gridCol w:w="1147"/>
      </w:tblGrid>
      <w:tr w:rsidR="00071135" w:rsidRPr="00071135" w:rsidTr="00AD2261">
        <w:trPr>
          <w:trHeight w:val="160"/>
        </w:trPr>
        <w:tc>
          <w:tcPr>
            <w:tcW w:w="109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t>Cuantum unitar planificat</w:t>
            </w:r>
          </w:p>
        </w:tc>
        <w:tc>
          <w:tcPr>
            <w:tcW w:w="195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 xml:space="preserve">An financiar </w:t>
            </w:r>
            <w:r w:rsidR="00723FCE" w:rsidRPr="00071135">
              <w:rPr>
                <w:b/>
                <w:sz w:val="20"/>
                <w:szCs w:val="20"/>
                <w:lang w:val="ro-RO"/>
              </w:rPr>
              <w:t>- Pasare  - gaini outoare</w:t>
            </w:r>
          </w:p>
        </w:tc>
        <w:tc>
          <w:tcPr>
            <w:tcW w:w="66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100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100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7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101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10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66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14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19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66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c>
          <w:tcPr>
            <w:tcW w:w="10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c>
          <w:tcPr>
            <w:tcW w:w="107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c>
          <w:tcPr>
            <w:tcW w:w="10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c>
          <w:tcPr>
            <w:tcW w:w="10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c>
          <w:tcPr>
            <w:tcW w:w="6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123,3</w:t>
            </w:r>
          </w:p>
        </w:tc>
      </w:tr>
      <w:tr w:rsidR="00071135" w:rsidRPr="00071135" w:rsidTr="00AD2261">
        <w:trPr>
          <w:trHeight w:val="425"/>
        </w:trPr>
        <w:tc>
          <w:tcPr>
            <w:tcW w:w="1098"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5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66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140,4 </w:t>
            </w:r>
          </w:p>
        </w:tc>
        <w:tc>
          <w:tcPr>
            <w:tcW w:w="10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140,4 </w:t>
            </w:r>
          </w:p>
        </w:tc>
        <w:tc>
          <w:tcPr>
            <w:tcW w:w="107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140,4 </w:t>
            </w:r>
          </w:p>
        </w:tc>
        <w:tc>
          <w:tcPr>
            <w:tcW w:w="10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140,4 </w:t>
            </w:r>
          </w:p>
        </w:tc>
        <w:tc>
          <w:tcPr>
            <w:tcW w:w="10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 xml:space="preserve">140,4 </w:t>
            </w:r>
          </w:p>
        </w:tc>
        <w:tc>
          <w:tcPr>
            <w:tcW w:w="6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140,4</w:t>
            </w:r>
          </w:p>
        </w:tc>
      </w:tr>
      <w:tr w:rsidR="00071135" w:rsidRPr="00071135" w:rsidTr="00AD2261">
        <w:trPr>
          <w:trHeight w:val="160"/>
        </w:trPr>
        <w:tc>
          <w:tcPr>
            <w:tcW w:w="1098"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6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r>
      <w:tr w:rsidR="00071135" w:rsidRPr="00071135" w:rsidTr="00AD2261">
        <w:trPr>
          <w:trHeight w:val="296"/>
        </w:trPr>
        <w:tc>
          <w:tcPr>
            <w:tcW w:w="1098"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TOTAL</w:t>
            </w:r>
          </w:p>
        </w:tc>
        <w:tc>
          <w:tcPr>
            <w:tcW w:w="1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c>
          <w:tcPr>
            <w:tcW w:w="6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117.055</w:t>
            </w:r>
          </w:p>
        </w:tc>
      </w:tr>
      <w:tr w:rsidR="00071135" w:rsidRPr="00071135" w:rsidTr="00AD2261">
        <w:trPr>
          <w:trHeight w:val="160"/>
        </w:trPr>
        <w:tc>
          <w:tcPr>
            <w:tcW w:w="1098"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14.436.692</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14.436.692</w:t>
            </w:r>
          </w:p>
        </w:tc>
        <w:tc>
          <w:tcPr>
            <w:tcW w:w="10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14.436.692</w:t>
            </w:r>
          </w:p>
        </w:tc>
        <w:tc>
          <w:tcPr>
            <w:tcW w:w="10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14.436.692</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14.436.692</w:t>
            </w:r>
          </w:p>
        </w:tc>
        <w:tc>
          <w:tcPr>
            <w:tcW w:w="6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72.183.460</w:t>
            </w:r>
          </w:p>
        </w:tc>
      </w:tr>
      <w:tr w:rsidR="00071135" w:rsidRPr="00071135" w:rsidTr="00AD2261">
        <w:trPr>
          <w:trHeight w:val="160"/>
        </w:trPr>
        <w:tc>
          <w:tcPr>
            <w:tcW w:w="1098"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19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12.245.989</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12.245.989</w:t>
            </w:r>
          </w:p>
        </w:tc>
        <w:tc>
          <w:tcPr>
            <w:tcW w:w="10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12.245.989</w:t>
            </w:r>
          </w:p>
        </w:tc>
        <w:tc>
          <w:tcPr>
            <w:tcW w:w="10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12.245.989</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12.245.989</w:t>
            </w:r>
          </w:p>
        </w:tc>
        <w:tc>
          <w:tcPr>
            <w:tcW w:w="6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61.229.946</w:t>
            </w:r>
          </w:p>
        </w:tc>
      </w:tr>
    </w:tbl>
    <w:p w:rsidR="00723FCE" w:rsidRPr="00071135" w:rsidRDefault="00723FCE" w:rsidP="00723FCE">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2089"/>
        <w:gridCol w:w="700"/>
        <w:gridCol w:w="952"/>
        <w:gridCol w:w="952"/>
        <w:gridCol w:w="1026"/>
        <w:gridCol w:w="958"/>
        <w:gridCol w:w="951"/>
        <w:gridCol w:w="699"/>
        <w:gridCol w:w="1176"/>
      </w:tblGrid>
      <w:tr w:rsidR="00071135" w:rsidRPr="00071135" w:rsidTr="00AD2261">
        <w:trPr>
          <w:trHeight w:val="160"/>
        </w:trPr>
        <w:tc>
          <w:tcPr>
            <w:tcW w:w="113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sz w:val="20"/>
                <w:szCs w:val="20"/>
                <w:lang w:val="ro-RO"/>
              </w:rPr>
            </w:pPr>
            <w:r w:rsidRPr="00071135">
              <w:rPr>
                <w:b/>
                <w:sz w:val="20"/>
                <w:szCs w:val="20"/>
                <w:lang w:val="ro-RO"/>
              </w:rPr>
              <w:t>Cuantum unitar planificat</w:t>
            </w:r>
          </w:p>
        </w:tc>
        <w:tc>
          <w:tcPr>
            <w:tcW w:w="208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AD2261" w:rsidP="00D300BB">
            <w:pPr>
              <w:spacing w:before="20" w:after="20"/>
              <w:rPr>
                <w:b/>
                <w:sz w:val="20"/>
                <w:szCs w:val="20"/>
                <w:lang w:val="ro-RO"/>
              </w:rPr>
            </w:pPr>
            <w:r w:rsidRPr="00071135">
              <w:rPr>
                <w:b/>
                <w:sz w:val="20"/>
                <w:szCs w:val="20"/>
                <w:lang w:val="ro-RO"/>
              </w:rPr>
              <w:t xml:space="preserve">An financiar </w:t>
            </w:r>
            <w:r w:rsidR="00723FCE" w:rsidRPr="00071135">
              <w:rPr>
                <w:b/>
                <w:sz w:val="20"/>
                <w:szCs w:val="20"/>
                <w:lang w:val="ro-RO"/>
              </w:rPr>
              <w:t>- Pasare  - gaini reproductie</w:t>
            </w:r>
          </w:p>
        </w:tc>
        <w:tc>
          <w:tcPr>
            <w:tcW w:w="70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2023</w:t>
            </w:r>
          </w:p>
        </w:tc>
        <w:tc>
          <w:tcPr>
            <w:tcW w:w="95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2024</w:t>
            </w:r>
          </w:p>
        </w:tc>
        <w:tc>
          <w:tcPr>
            <w:tcW w:w="95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2025</w:t>
            </w:r>
          </w:p>
        </w:tc>
        <w:tc>
          <w:tcPr>
            <w:tcW w:w="102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2026</w:t>
            </w:r>
          </w:p>
        </w:tc>
        <w:tc>
          <w:tcPr>
            <w:tcW w:w="95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2027</w:t>
            </w:r>
          </w:p>
        </w:tc>
        <w:tc>
          <w:tcPr>
            <w:tcW w:w="95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2028</w:t>
            </w:r>
          </w:p>
        </w:tc>
        <w:tc>
          <w:tcPr>
            <w:tcW w:w="69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2029</w:t>
            </w:r>
          </w:p>
        </w:tc>
        <w:tc>
          <w:tcPr>
            <w:tcW w:w="11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23FCE" w:rsidRPr="00071135" w:rsidRDefault="00723FCE" w:rsidP="00D300BB">
            <w:pPr>
              <w:spacing w:before="20" w:after="20"/>
              <w:rPr>
                <w:sz w:val="20"/>
                <w:szCs w:val="20"/>
                <w:lang w:val="ro-RO"/>
              </w:rPr>
            </w:pPr>
            <w:r w:rsidRPr="00071135">
              <w:rPr>
                <w:sz w:val="20"/>
                <w:szCs w:val="20"/>
                <w:lang w:val="ro-RO"/>
              </w:rPr>
              <w:t>Total 2023 - 2029</w:t>
            </w:r>
          </w:p>
        </w:tc>
      </w:tr>
      <w:tr w:rsidR="00071135" w:rsidRPr="00071135" w:rsidTr="00AD2261">
        <w:trPr>
          <w:trHeight w:val="425"/>
        </w:trPr>
        <w:tc>
          <w:tcPr>
            <w:tcW w:w="11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001 – Plata pe UVM</w:t>
            </w:r>
          </w:p>
        </w:tc>
        <w:tc>
          <w:tcPr>
            <w:tcW w:w="208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 xml:space="preserve">Cuantum unitar planificat (Cheltuială publică totală în EUR) </w:t>
            </w:r>
          </w:p>
        </w:tc>
        <w:tc>
          <w:tcPr>
            <w:tcW w:w="7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c>
          <w:tcPr>
            <w:tcW w:w="95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c>
          <w:tcPr>
            <w:tcW w:w="102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c>
          <w:tcPr>
            <w:tcW w:w="95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c>
          <w:tcPr>
            <w:tcW w:w="95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c>
          <w:tcPr>
            <w:tcW w:w="69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210,8</w:t>
            </w:r>
          </w:p>
        </w:tc>
      </w:tr>
      <w:tr w:rsidR="00071135" w:rsidRPr="00071135" w:rsidTr="00AD2261">
        <w:trPr>
          <w:trHeight w:val="425"/>
        </w:trPr>
        <w:tc>
          <w:tcPr>
            <w:tcW w:w="11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08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Suma maximă pentru cuantumul unitar planificat (EUR)</w:t>
            </w:r>
          </w:p>
        </w:tc>
        <w:tc>
          <w:tcPr>
            <w:tcW w:w="7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c>
          <w:tcPr>
            <w:tcW w:w="95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c>
          <w:tcPr>
            <w:tcW w:w="102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c>
          <w:tcPr>
            <w:tcW w:w="95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c>
          <w:tcPr>
            <w:tcW w:w="95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c>
          <w:tcPr>
            <w:tcW w:w="69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233</w:t>
            </w:r>
          </w:p>
        </w:tc>
      </w:tr>
      <w:tr w:rsidR="00071135" w:rsidRPr="00071135" w:rsidTr="00AD2261">
        <w:trPr>
          <w:trHeight w:val="160"/>
        </w:trPr>
        <w:tc>
          <w:tcPr>
            <w:tcW w:w="11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0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102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6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r>
      <w:tr w:rsidR="00071135" w:rsidRPr="00071135" w:rsidTr="00AD2261">
        <w:trPr>
          <w:trHeight w:val="296"/>
        </w:trPr>
        <w:tc>
          <w:tcPr>
            <w:tcW w:w="1139"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TOTAL</w:t>
            </w:r>
          </w:p>
        </w:tc>
        <w:tc>
          <w:tcPr>
            <w:tcW w:w="20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O.18 (unitate: UVM)</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102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95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c>
          <w:tcPr>
            <w:tcW w:w="6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16.253</w:t>
            </w:r>
          </w:p>
        </w:tc>
      </w:tr>
      <w:tr w:rsidR="00071135" w:rsidRPr="00071135" w:rsidTr="00AD2261">
        <w:trPr>
          <w:trHeight w:val="160"/>
        </w:trPr>
        <w:tc>
          <w:tcPr>
            <w:tcW w:w="1139"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0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(Cheltuială publică totală în EUR)</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3.425.438</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3.425.438</w:t>
            </w:r>
          </w:p>
        </w:tc>
        <w:tc>
          <w:tcPr>
            <w:tcW w:w="102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3.425.438</w:t>
            </w:r>
          </w:p>
        </w:tc>
        <w:tc>
          <w:tcPr>
            <w:tcW w:w="9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3.425.438</w:t>
            </w:r>
          </w:p>
        </w:tc>
        <w:tc>
          <w:tcPr>
            <w:tcW w:w="95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3.425.438</w:t>
            </w:r>
          </w:p>
        </w:tc>
        <w:tc>
          <w:tcPr>
            <w:tcW w:w="6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17.127.190</w:t>
            </w:r>
          </w:p>
        </w:tc>
      </w:tr>
      <w:tr w:rsidR="00071135" w:rsidRPr="00071135" w:rsidTr="00AD2261">
        <w:trPr>
          <w:trHeight w:val="160"/>
        </w:trPr>
        <w:tc>
          <w:tcPr>
            <w:tcW w:w="1139" w:type="dxa"/>
            <w:vMerge/>
            <w:tcBorders>
              <w:left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p>
        </w:tc>
        <w:tc>
          <w:tcPr>
            <w:tcW w:w="20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rPr>
                <w:sz w:val="20"/>
                <w:szCs w:val="20"/>
                <w:lang w:val="ro-RO"/>
              </w:rPr>
            </w:pPr>
            <w:r w:rsidRPr="00071135">
              <w:rPr>
                <w:sz w:val="20"/>
                <w:szCs w:val="20"/>
                <w:lang w:val="ro-RO"/>
              </w:rPr>
              <w:t>Alocare financiară anuală indicativa (Contribuția Uniunii în EUR)</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2.905.643</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2.905.643</w:t>
            </w:r>
          </w:p>
        </w:tc>
        <w:tc>
          <w:tcPr>
            <w:tcW w:w="102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2.905.643</w:t>
            </w:r>
          </w:p>
        </w:tc>
        <w:tc>
          <w:tcPr>
            <w:tcW w:w="9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2.905.643</w:t>
            </w:r>
          </w:p>
        </w:tc>
        <w:tc>
          <w:tcPr>
            <w:tcW w:w="95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2.905.643</w:t>
            </w:r>
          </w:p>
        </w:tc>
        <w:tc>
          <w:tcPr>
            <w:tcW w:w="6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jc w:val="right"/>
            </w:pPr>
            <w:r w:rsidRPr="00071135">
              <w:rPr>
                <w:sz w:val="20"/>
                <w:szCs w:val="20"/>
                <w:lang w:val="ro-RO"/>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AD2261" w:rsidRPr="00071135" w:rsidRDefault="00AD2261" w:rsidP="00AD2261">
            <w:pPr>
              <w:spacing w:before="20" w:after="20"/>
              <w:jc w:val="right"/>
              <w:rPr>
                <w:sz w:val="20"/>
                <w:szCs w:val="20"/>
                <w:lang w:val="ro-RO"/>
              </w:rPr>
            </w:pPr>
            <w:r w:rsidRPr="00071135">
              <w:rPr>
                <w:sz w:val="20"/>
                <w:szCs w:val="20"/>
                <w:lang w:val="ro-RO"/>
              </w:rPr>
              <w:t>14.528.216</w:t>
            </w:r>
          </w:p>
        </w:tc>
      </w:tr>
      <w:bookmarkEnd w:id="365"/>
      <w:bookmarkEnd w:id="366"/>
      <w:bookmarkEnd w:id="367"/>
      <w:bookmarkEnd w:id="368"/>
      <w:bookmarkEnd w:id="369"/>
      <w:bookmarkEnd w:id="370"/>
      <w:bookmarkEnd w:id="371"/>
      <w:bookmarkEnd w:id="372"/>
      <w:bookmarkEnd w:id="373"/>
      <w:bookmarkEnd w:id="374"/>
      <w:bookmarkEnd w:id="375"/>
      <w:bookmarkEnd w:id="0"/>
    </w:tbl>
    <w:p w:rsidR="00723FCE" w:rsidRPr="00071135" w:rsidRDefault="00723FCE" w:rsidP="00723FCE">
      <w:pPr>
        <w:rPr>
          <w:lang w:val="ro-RO"/>
        </w:rPr>
      </w:pPr>
    </w:p>
    <w:sectPr w:rsidR="00723FCE" w:rsidRPr="00071135" w:rsidSect="00A71EF0">
      <w:headerReference w:type="default"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0FA" w:rsidRDefault="004230FA" w:rsidP="001B426C">
      <w:pPr>
        <w:spacing w:after="0" w:line="240" w:lineRule="auto"/>
      </w:pPr>
      <w:r>
        <w:separator/>
      </w:r>
    </w:p>
  </w:endnote>
  <w:endnote w:type="continuationSeparator" w:id="0">
    <w:p w:rsidR="004230FA" w:rsidRDefault="004230FA"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rsidR="0098654A" w:rsidRDefault="0098654A">
        <w:pPr>
          <w:pStyle w:val="Footer"/>
          <w:jc w:val="right"/>
        </w:pPr>
        <w:r>
          <w:rPr>
            <w:noProof w:val="0"/>
          </w:rPr>
          <w:fldChar w:fldCharType="begin"/>
        </w:r>
        <w:r>
          <w:instrText xml:space="preserve"> PAGE   \* MERGEFORMAT </w:instrText>
        </w:r>
        <w:r>
          <w:rPr>
            <w:noProof w:val="0"/>
          </w:rPr>
          <w:fldChar w:fldCharType="separate"/>
        </w:r>
        <w:r w:rsidR="00657249">
          <w:t>17</w:t>
        </w:r>
        <w:r>
          <w:fldChar w:fldCharType="end"/>
        </w:r>
      </w:p>
    </w:sdtContent>
  </w:sdt>
  <w:p w:rsidR="0098654A" w:rsidRDefault="00986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0FA" w:rsidRDefault="004230FA" w:rsidP="001B426C">
      <w:pPr>
        <w:spacing w:after="0" w:line="240" w:lineRule="auto"/>
      </w:pPr>
      <w:r>
        <w:separator/>
      </w:r>
    </w:p>
  </w:footnote>
  <w:footnote w:type="continuationSeparator" w:id="0">
    <w:p w:rsidR="004230FA" w:rsidRDefault="004230FA"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rsidR="0098654A" w:rsidRDefault="004230FA">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6179D0"/>
    <w:multiLevelType w:val="multilevel"/>
    <w:tmpl w:val="E878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FB4F6C"/>
    <w:multiLevelType w:val="multilevel"/>
    <w:tmpl w:val="716E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10"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3"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436603"/>
    <w:multiLevelType w:val="multilevel"/>
    <w:tmpl w:val="A09AD310"/>
    <w:numStyleLink w:val="Headings"/>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9"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40"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41"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2"/>
  </w:num>
  <w:num w:numId="2">
    <w:abstractNumId w:val="40"/>
  </w:num>
  <w:num w:numId="3">
    <w:abstractNumId w:val="1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
  </w:num>
  <w:num w:numId="7">
    <w:abstractNumId w:val="39"/>
  </w:num>
  <w:num w:numId="8">
    <w:abstractNumId w:val="38"/>
  </w:num>
  <w:num w:numId="9">
    <w:abstractNumId w:val="34"/>
  </w:num>
  <w:num w:numId="10">
    <w:abstractNumId w:val="0"/>
  </w:num>
  <w:num w:numId="11">
    <w:abstractNumId w:val="24"/>
  </w:num>
  <w:num w:numId="12">
    <w:abstractNumId w:val="28"/>
  </w:num>
  <w:num w:numId="13">
    <w:abstractNumId w:val="27"/>
  </w:num>
  <w:num w:numId="14">
    <w:abstractNumId w:val="20"/>
  </w:num>
  <w:num w:numId="15">
    <w:abstractNumId w:val="9"/>
  </w:num>
  <w:num w:numId="16">
    <w:abstractNumId w:val="5"/>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3"/>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6"/>
  </w:num>
  <w:num w:numId="23">
    <w:abstractNumId w:val="45"/>
  </w:num>
  <w:num w:numId="24">
    <w:abstractNumId w:val="43"/>
  </w:num>
  <w:num w:numId="25">
    <w:abstractNumId w:val="44"/>
  </w:num>
  <w:num w:numId="26">
    <w:abstractNumId w:val="25"/>
  </w:num>
  <w:num w:numId="27">
    <w:abstractNumId w:val="4"/>
  </w:num>
  <w:num w:numId="28">
    <w:abstractNumId w:val="42"/>
  </w:num>
  <w:num w:numId="29">
    <w:abstractNumId w:val="30"/>
  </w:num>
  <w:num w:numId="30">
    <w:abstractNumId w:val="32"/>
  </w:num>
  <w:num w:numId="31">
    <w:abstractNumId w:val="7"/>
  </w:num>
  <w:num w:numId="32">
    <w:abstractNumId w:val="22"/>
  </w:num>
  <w:num w:numId="33">
    <w:abstractNumId w:val="26"/>
  </w:num>
  <w:num w:numId="34">
    <w:abstractNumId w:val="14"/>
  </w:num>
  <w:num w:numId="35">
    <w:abstractNumId w:val="11"/>
  </w:num>
  <w:num w:numId="36">
    <w:abstractNumId w:val="19"/>
  </w:num>
  <w:num w:numId="37">
    <w:abstractNumId w:val="41"/>
  </w:num>
  <w:num w:numId="38">
    <w:abstractNumId w:val="31"/>
  </w:num>
  <w:num w:numId="39">
    <w:abstractNumId w:val="1"/>
  </w:num>
  <w:num w:numId="40">
    <w:abstractNumId w:val="13"/>
  </w:num>
  <w:num w:numId="41">
    <w:abstractNumId w:val="16"/>
  </w:num>
  <w:num w:numId="42">
    <w:abstractNumId w:val="29"/>
  </w:num>
  <w:num w:numId="43">
    <w:abstractNumId w:val="10"/>
  </w:num>
  <w:num w:numId="44">
    <w:abstractNumId w:val="33"/>
  </w:num>
  <w:num w:numId="45">
    <w:abstractNumId w:val="35"/>
  </w:num>
  <w:num w:numId="46">
    <w:abstractNumId w:val="3"/>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FE8"/>
    <w:rsid w:val="00007A33"/>
    <w:rsid w:val="00016B8F"/>
    <w:rsid w:val="00017F18"/>
    <w:rsid w:val="00021D93"/>
    <w:rsid w:val="00021DCB"/>
    <w:rsid w:val="00025DC2"/>
    <w:rsid w:val="000306EF"/>
    <w:rsid w:val="00030FA0"/>
    <w:rsid w:val="000351E7"/>
    <w:rsid w:val="00043B8A"/>
    <w:rsid w:val="00047FBD"/>
    <w:rsid w:val="000526DD"/>
    <w:rsid w:val="00062B2F"/>
    <w:rsid w:val="00063476"/>
    <w:rsid w:val="00064FBB"/>
    <w:rsid w:val="000660FC"/>
    <w:rsid w:val="00066713"/>
    <w:rsid w:val="000677F4"/>
    <w:rsid w:val="00071135"/>
    <w:rsid w:val="00073B64"/>
    <w:rsid w:val="00075D78"/>
    <w:rsid w:val="00076EC3"/>
    <w:rsid w:val="00081A62"/>
    <w:rsid w:val="00090EA3"/>
    <w:rsid w:val="000921D5"/>
    <w:rsid w:val="00094F39"/>
    <w:rsid w:val="000971E0"/>
    <w:rsid w:val="000A18E3"/>
    <w:rsid w:val="000A1972"/>
    <w:rsid w:val="000B412D"/>
    <w:rsid w:val="000C3494"/>
    <w:rsid w:val="000D1BDC"/>
    <w:rsid w:val="000D3CF5"/>
    <w:rsid w:val="000E05DD"/>
    <w:rsid w:val="000E11AF"/>
    <w:rsid w:val="000E15D8"/>
    <w:rsid w:val="000F065D"/>
    <w:rsid w:val="000F65D4"/>
    <w:rsid w:val="00103CAC"/>
    <w:rsid w:val="00104DA4"/>
    <w:rsid w:val="0010626A"/>
    <w:rsid w:val="00111612"/>
    <w:rsid w:val="00114EFF"/>
    <w:rsid w:val="00121448"/>
    <w:rsid w:val="001236C9"/>
    <w:rsid w:val="001241A1"/>
    <w:rsid w:val="001303F8"/>
    <w:rsid w:val="00131DA3"/>
    <w:rsid w:val="00136F61"/>
    <w:rsid w:val="00137D9E"/>
    <w:rsid w:val="00140C52"/>
    <w:rsid w:val="001417EC"/>
    <w:rsid w:val="00142BE6"/>
    <w:rsid w:val="00145A99"/>
    <w:rsid w:val="001518FA"/>
    <w:rsid w:val="001549F6"/>
    <w:rsid w:val="00156818"/>
    <w:rsid w:val="00161681"/>
    <w:rsid w:val="00167E17"/>
    <w:rsid w:val="00171C8B"/>
    <w:rsid w:val="001737DA"/>
    <w:rsid w:val="001767B0"/>
    <w:rsid w:val="00184541"/>
    <w:rsid w:val="00185704"/>
    <w:rsid w:val="001873CE"/>
    <w:rsid w:val="00193918"/>
    <w:rsid w:val="00193F26"/>
    <w:rsid w:val="001A135F"/>
    <w:rsid w:val="001A17CF"/>
    <w:rsid w:val="001B1D34"/>
    <w:rsid w:val="001B3859"/>
    <w:rsid w:val="001B426C"/>
    <w:rsid w:val="001C704E"/>
    <w:rsid w:val="001C74F6"/>
    <w:rsid w:val="001D00C1"/>
    <w:rsid w:val="001E6FBF"/>
    <w:rsid w:val="001E7F5A"/>
    <w:rsid w:val="001F0215"/>
    <w:rsid w:val="001F0806"/>
    <w:rsid w:val="001F1C04"/>
    <w:rsid w:val="00200913"/>
    <w:rsid w:val="00212020"/>
    <w:rsid w:val="00214ED9"/>
    <w:rsid w:val="00221FA8"/>
    <w:rsid w:val="0022335F"/>
    <w:rsid w:val="00224A6B"/>
    <w:rsid w:val="00227AB2"/>
    <w:rsid w:val="00227B3B"/>
    <w:rsid w:val="00236A75"/>
    <w:rsid w:val="00240971"/>
    <w:rsid w:val="002409C4"/>
    <w:rsid w:val="00241B86"/>
    <w:rsid w:val="00242E3C"/>
    <w:rsid w:val="002513BA"/>
    <w:rsid w:val="00252D41"/>
    <w:rsid w:val="0025394D"/>
    <w:rsid w:val="00261301"/>
    <w:rsid w:val="002656EC"/>
    <w:rsid w:val="00265B2A"/>
    <w:rsid w:val="00275CE7"/>
    <w:rsid w:val="002776B7"/>
    <w:rsid w:val="00282885"/>
    <w:rsid w:val="00283890"/>
    <w:rsid w:val="00284723"/>
    <w:rsid w:val="0028473A"/>
    <w:rsid w:val="0028476A"/>
    <w:rsid w:val="00285B48"/>
    <w:rsid w:val="002933D7"/>
    <w:rsid w:val="00296AB6"/>
    <w:rsid w:val="002A1654"/>
    <w:rsid w:val="002B1BB0"/>
    <w:rsid w:val="002B7B99"/>
    <w:rsid w:val="002B7F1C"/>
    <w:rsid w:val="002C1CFF"/>
    <w:rsid w:val="002C365C"/>
    <w:rsid w:val="002C63D0"/>
    <w:rsid w:val="002C65D3"/>
    <w:rsid w:val="002D22E0"/>
    <w:rsid w:val="002D636E"/>
    <w:rsid w:val="002E0A39"/>
    <w:rsid w:val="002E1024"/>
    <w:rsid w:val="002E29FB"/>
    <w:rsid w:val="002E7102"/>
    <w:rsid w:val="002E742E"/>
    <w:rsid w:val="002E7D37"/>
    <w:rsid w:val="002F1BCB"/>
    <w:rsid w:val="002F4ADE"/>
    <w:rsid w:val="002F4C5E"/>
    <w:rsid w:val="003015B6"/>
    <w:rsid w:val="00304C3C"/>
    <w:rsid w:val="00304D58"/>
    <w:rsid w:val="00315211"/>
    <w:rsid w:val="00315E32"/>
    <w:rsid w:val="00321BB9"/>
    <w:rsid w:val="00322E3F"/>
    <w:rsid w:val="00327753"/>
    <w:rsid w:val="00336BC7"/>
    <w:rsid w:val="00342E06"/>
    <w:rsid w:val="00350F9A"/>
    <w:rsid w:val="0035169B"/>
    <w:rsid w:val="00351E8E"/>
    <w:rsid w:val="00352577"/>
    <w:rsid w:val="00353770"/>
    <w:rsid w:val="00363A5B"/>
    <w:rsid w:val="0036519D"/>
    <w:rsid w:val="00366C38"/>
    <w:rsid w:val="00370EAB"/>
    <w:rsid w:val="00371FBE"/>
    <w:rsid w:val="00376FEC"/>
    <w:rsid w:val="00384341"/>
    <w:rsid w:val="00385327"/>
    <w:rsid w:val="003904BC"/>
    <w:rsid w:val="0039331E"/>
    <w:rsid w:val="00395AAD"/>
    <w:rsid w:val="003B30B0"/>
    <w:rsid w:val="003C1F61"/>
    <w:rsid w:val="003C60C4"/>
    <w:rsid w:val="003E5C93"/>
    <w:rsid w:val="003E639A"/>
    <w:rsid w:val="004001E3"/>
    <w:rsid w:val="004107B6"/>
    <w:rsid w:val="004117B1"/>
    <w:rsid w:val="00412F3E"/>
    <w:rsid w:val="004139FF"/>
    <w:rsid w:val="00415FAC"/>
    <w:rsid w:val="00420A83"/>
    <w:rsid w:val="004230FA"/>
    <w:rsid w:val="0042389F"/>
    <w:rsid w:val="00426C90"/>
    <w:rsid w:val="004377E7"/>
    <w:rsid w:val="00440A7F"/>
    <w:rsid w:val="004451D6"/>
    <w:rsid w:val="00450403"/>
    <w:rsid w:val="004522AE"/>
    <w:rsid w:val="00452493"/>
    <w:rsid w:val="004557BF"/>
    <w:rsid w:val="00455962"/>
    <w:rsid w:val="004562B5"/>
    <w:rsid w:val="00476639"/>
    <w:rsid w:val="00477D84"/>
    <w:rsid w:val="004841A5"/>
    <w:rsid w:val="00484EBD"/>
    <w:rsid w:val="0048629F"/>
    <w:rsid w:val="004872C4"/>
    <w:rsid w:val="00487881"/>
    <w:rsid w:val="00487B2C"/>
    <w:rsid w:val="0049195E"/>
    <w:rsid w:val="004A1FE3"/>
    <w:rsid w:val="004A33FB"/>
    <w:rsid w:val="004A5288"/>
    <w:rsid w:val="004A749D"/>
    <w:rsid w:val="004B011A"/>
    <w:rsid w:val="004B0651"/>
    <w:rsid w:val="004B2FC0"/>
    <w:rsid w:val="004B33AA"/>
    <w:rsid w:val="004B535B"/>
    <w:rsid w:val="004C239D"/>
    <w:rsid w:val="004C4EAE"/>
    <w:rsid w:val="004C532A"/>
    <w:rsid w:val="004C7876"/>
    <w:rsid w:val="004C7E48"/>
    <w:rsid w:val="004D0897"/>
    <w:rsid w:val="004D1856"/>
    <w:rsid w:val="004D5699"/>
    <w:rsid w:val="004D7DCA"/>
    <w:rsid w:val="004E23D9"/>
    <w:rsid w:val="004E5A47"/>
    <w:rsid w:val="004E6E74"/>
    <w:rsid w:val="004F20CD"/>
    <w:rsid w:val="004F29E7"/>
    <w:rsid w:val="004F3E5E"/>
    <w:rsid w:val="004F618C"/>
    <w:rsid w:val="004F7907"/>
    <w:rsid w:val="00502E47"/>
    <w:rsid w:val="00503BC0"/>
    <w:rsid w:val="0050422F"/>
    <w:rsid w:val="00504F5B"/>
    <w:rsid w:val="00505A18"/>
    <w:rsid w:val="00511800"/>
    <w:rsid w:val="0051439F"/>
    <w:rsid w:val="005209A2"/>
    <w:rsid w:val="0052252C"/>
    <w:rsid w:val="005234D7"/>
    <w:rsid w:val="0052794F"/>
    <w:rsid w:val="0053081E"/>
    <w:rsid w:val="00531C3E"/>
    <w:rsid w:val="00536A5B"/>
    <w:rsid w:val="00537172"/>
    <w:rsid w:val="005414E9"/>
    <w:rsid w:val="00545CA1"/>
    <w:rsid w:val="00546456"/>
    <w:rsid w:val="005471C9"/>
    <w:rsid w:val="00553000"/>
    <w:rsid w:val="005562E6"/>
    <w:rsid w:val="0056483A"/>
    <w:rsid w:val="00564E91"/>
    <w:rsid w:val="00565F08"/>
    <w:rsid w:val="005727E5"/>
    <w:rsid w:val="00575B0C"/>
    <w:rsid w:val="00577AD3"/>
    <w:rsid w:val="00584CE7"/>
    <w:rsid w:val="00585FE8"/>
    <w:rsid w:val="005869AD"/>
    <w:rsid w:val="0058717F"/>
    <w:rsid w:val="00587802"/>
    <w:rsid w:val="0059352B"/>
    <w:rsid w:val="00596692"/>
    <w:rsid w:val="005A3F45"/>
    <w:rsid w:val="005A4B04"/>
    <w:rsid w:val="005B5F81"/>
    <w:rsid w:val="005B6639"/>
    <w:rsid w:val="005D1086"/>
    <w:rsid w:val="005D3794"/>
    <w:rsid w:val="005D4E1E"/>
    <w:rsid w:val="005E134C"/>
    <w:rsid w:val="005E247E"/>
    <w:rsid w:val="005E371B"/>
    <w:rsid w:val="005E48F5"/>
    <w:rsid w:val="005E7F2C"/>
    <w:rsid w:val="005F1D34"/>
    <w:rsid w:val="005F33CE"/>
    <w:rsid w:val="005F3742"/>
    <w:rsid w:val="005F646C"/>
    <w:rsid w:val="005F7A0E"/>
    <w:rsid w:val="00604100"/>
    <w:rsid w:val="00615C4F"/>
    <w:rsid w:val="00621251"/>
    <w:rsid w:val="00626A8A"/>
    <w:rsid w:val="0063324B"/>
    <w:rsid w:val="00635D4A"/>
    <w:rsid w:val="00640726"/>
    <w:rsid w:val="00640E39"/>
    <w:rsid w:val="0064141D"/>
    <w:rsid w:val="00643F1B"/>
    <w:rsid w:val="00644299"/>
    <w:rsid w:val="00645BEF"/>
    <w:rsid w:val="00646C2A"/>
    <w:rsid w:val="00647A47"/>
    <w:rsid w:val="006502BF"/>
    <w:rsid w:val="00650445"/>
    <w:rsid w:val="00656A73"/>
    <w:rsid w:val="00657249"/>
    <w:rsid w:val="00663950"/>
    <w:rsid w:val="00667BC0"/>
    <w:rsid w:val="00671B8A"/>
    <w:rsid w:val="00672B57"/>
    <w:rsid w:val="00673E72"/>
    <w:rsid w:val="00677653"/>
    <w:rsid w:val="00677FA0"/>
    <w:rsid w:val="00685855"/>
    <w:rsid w:val="00687E27"/>
    <w:rsid w:val="00691303"/>
    <w:rsid w:val="00692980"/>
    <w:rsid w:val="006962E4"/>
    <w:rsid w:val="006A0EC4"/>
    <w:rsid w:val="006A1F31"/>
    <w:rsid w:val="006A5F71"/>
    <w:rsid w:val="006B016C"/>
    <w:rsid w:val="006B066B"/>
    <w:rsid w:val="006B13B5"/>
    <w:rsid w:val="006B26FA"/>
    <w:rsid w:val="006C3114"/>
    <w:rsid w:val="006D5F6F"/>
    <w:rsid w:val="006D6235"/>
    <w:rsid w:val="006E0AE2"/>
    <w:rsid w:val="006E2F0B"/>
    <w:rsid w:val="006E452B"/>
    <w:rsid w:val="006E63CD"/>
    <w:rsid w:val="006F03A8"/>
    <w:rsid w:val="006F1E35"/>
    <w:rsid w:val="006F2C3D"/>
    <w:rsid w:val="006F62AB"/>
    <w:rsid w:val="0070499B"/>
    <w:rsid w:val="007173BE"/>
    <w:rsid w:val="007228C6"/>
    <w:rsid w:val="00723FCE"/>
    <w:rsid w:val="0073376A"/>
    <w:rsid w:val="007453F9"/>
    <w:rsid w:val="00747FCD"/>
    <w:rsid w:val="00750339"/>
    <w:rsid w:val="0075190C"/>
    <w:rsid w:val="00753903"/>
    <w:rsid w:val="00754AB9"/>
    <w:rsid w:val="00756F57"/>
    <w:rsid w:val="007574F1"/>
    <w:rsid w:val="00757C2F"/>
    <w:rsid w:val="0076200B"/>
    <w:rsid w:val="00766163"/>
    <w:rsid w:val="00770783"/>
    <w:rsid w:val="007709F1"/>
    <w:rsid w:val="00780618"/>
    <w:rsid w:val="00780A17"/>
    <w:rsid w:val="00781714"/>
    <w:rsid w:val="0078183B"/>
    <w:rsid w:val="00782171"/>
    <w:rsid w:val="00785E62"/>
    <w:rsid w:val="00793BA1"/>
    <w:rsid w:val="007952BA"/>
    <w:rsid w:val="007A7608"/>
    <w:rsid w:val="007B2D6B"/>
    <w:rsid w:val="007B58B5"/>
    <w:rsid w:val="007B61AD"/>
    <w:rsid w:val="007B780E"/>
    <w:rsid w:val="007C4456"/>
    <w:rsid w:val="007C5017"/>
    <w:rsid w:val="007D1E22"/>
    <w:rsid w:val="007D3E56"/>
    <w:rsid w:val="007D6E00"/>
    <w:rsid w:val="007D777B"/>
    <w:rsid w:val="007E2182"/>
    <w:rsid w:val="007E7141"/>
    <w:rsid w:val="007F0908"/>
    <w:rsid w:val="007F17FC"/>
    <w:rsid w:val="007F6E06"/>
    <w:rsid w:val="007F72ED"/>
    <w:rsid w:val="00801E57"/>
    <w:rsid w:val="00811B5F"/>
    <w:rsid w:val="0081202E"/>
    <w:rsid w:val="008120AA"/>
    <w:rsid w:val="00817276"/>
    <w:rsid w:val="0082097E"/>
    <w:rsid w:val="00822378"/>
    <w:rsid w:val="0082532D"/>
    <w:rsid w:val="00826D2F"/>
    <w:rsid w:val="00827060"/>
    <w:rsid w:val="00832A07"/>
    <w:rsid w:val="00834A2A"/>
    <w:rsid w:val="00844F46"/>
    <w:rsid w:val="00845916"/>
    <w:rsid w:val="0084603B"/>
    <w:rsid w:val="00847CAE"/>
    <w:rsid w:val="00850BF5"/>
    <w:rsid w:val="00850C45"/>
    <w:rsid w:val="00851FA5"/>
    <w:rsid w:val="0085369B"/>
    <w:rsid w:val="00855A54"/>
    <w:rsid w:val="00880F1B"/>
    <w:rsid w:val="00883512"/>
    <w:rsid w:val="00886C52"/>
    <w:rsid w:val="00892485"/>
    <w:rsid w:val="00894F87"/>
    <w:rsid w:val="008953DB"/>
    <w:rsid w:val="008953DD"/>
    <w:rsid w:val="008958C2"/>
    <w:rsid w:val="0089790E"/>
    <w:rsid w:val="008A0364"/>
    <w:rsid w:val="008A46D7"/>
    <w:rsid w:val="008A5DC2"/>
    <w:rsid w:val="008A6474"/>
    <w:rsid w:val="008B666F"/>
    <w:rsid w:val="008B717B"/>
    <w:rsid w:val="008B7814"/>
    <w:rsid w:val="008C18A9"/>
    <w:rsid w:val="008C52DF"/>
    <w:rsid w:val="008C5DAA"/>
    <w:rsid w:val="008D1046"/>
    <w:rsid w:val="008D6CD5"/>
    <w:rsid w:val="008D7694"/>
    <w:rsid w:val="008E1A45"/>
    <w:rsid w:val="008E1FB8"/>
    <w:rsid w:val="008E73F0"/>
    <w:rsid w:val="008F0857"/>
    <w:rsid w:val="008F61DD"/>
    <w:rsid w:val="008F7D00"/>
    <w:rsid w:val="009005DD"/>
    <w:rsid w:val="0090347A"/>
    <w:rsid w:val="0090541C"/>
    <w:rsid w:val="00906052"/>
    <w:rsid w:val="009068FE"/>
    <w:rsid w:val="00915CD6"/>
    <w:rsid w:val="00917672"/>
    <w:rsid w:val="009224ED"/>
    <w:rsid w:val="00927A01"/>
    <w:rsid w:val="009300D4"/>
    <w:rsid w:val="009441EF"/>
    <w:rsid w:val="009516D4"/>
    <w:rsid w:val="00951BAB"/>
    <w:rsid w:val="00961756"/>
    <w:rsid w:val="009624ED"/>
    <w:rsid w:val="00963480"/>
    <w:rsid w:val="00965848"/>
    <w:rsid w:val="00966786"/>
    <w:rsid w:val="009744D0"/>
    <w:rsid w:val="009751EA"/>
    <w:rsid w:val="009761B7"/>
    <w:rsid w:val="009766A0"/>
    <w:rsid w:val="00983C04"/>
    <w:rsid w:val="009856A7"/>
    <w:rsid w:val="009856DD"/>
    <w:rsid w:val="0098635F"/>
    <w:rsid w:val="0098654A"/>
    <w:rsid w:val="009925E8"/>
    <w:rsid w:val="0099336F"/>
    <w:rsid w:val="00997C39"/>
    <w:rsid w:val="009A5FD1"/>
    <w:rsid w:val="009A7F4A"/>
    <w:rsid w:val="009B11F5"/>
    <w:rsid w:val="009B7421"/>
    <w:rsid w:val="009B7C0C"/>
    <w:rsid w:val="009C3239"/>
    <w:rsid w:val="009C4643"/>
    <w:rsid w:val="009D235B"/>
    <w:rsid w:val="009D5483"/>
    <w:rsid w:val="009E687C"/>
    <w:rsid w:val="009E6EFA"/>
    <w:rsid w:val="009E74AE"/>
    <w:rsid w:val="009F439A"/>
    <w:rsid w:val="009F67D0"/>
    <w:rsid w:val="00A063B4"/>
    <w:rsid w:val="00A06DEF"/>
    <w:rsid w:val="00A104D6"/>
    <w:rsid w:val="00A10533"/>
    <w:rsid w:val="00A20C3F"/>
    <w:rsid w:val="00A24A96"/>
    <w:rsid w:val="00A25243"/>
    <w:rsid w:val="00A32D0A"/>
    <w:rsid w:val="00A41DA5"/>
    <w:rsid w:val="00A430F6"/>
    <w:rsid w:val="00A46209"/>
    <w:rsid w:val="00A47FB4"/>
    <w:rsid w:val="00A55C8C"/>
    <w:rsid w:val="00A56FBB"/>
    <w:rsid w:val="00A62E8F"/>
    <w:rsid w:val="00A71EF0"/>
    <w:rsid w:val="00A730B7"/>
    <w:rsid w:val="00A779B3"/>
    <w:rsid w:val="00A80977"/>
    <w:rsid w:val="00A83526"/>
    <w:rsid w:val="00A84710"/>
    <w:rsid w:val="00A86879"/>
    <w:rsid w:val="00A90608"/>
    <w:rsid w:val="00A91EC0"/>
    <w:rsid w:val="00A92780"/>
    <w:rsid w:val="00A93DBF"/>
    <w:rsid w:val="00A94304"/>
    <w:rsid w:val="00A96512"/>
    <w:rsid w:val="00A96CD5"/>
    <w:rsid w:val="00AA2D22"/>
    <w:rsid w:val="00AA40C2"/>
    <w:rsid w:val="00AB1769"/>
    <w:rsid w:val="00AB2E99"/>
    <w:rsid w:val="00AC55A8"/>
    <w:rsid w:val="00AD1BA9"/>
    <w:rsid w:val="00AD2261"/>
    <w:rsid w:val="00AD58C3"/>
    <w:rsid w:val="00AE21BB"/>
    <w:rsid w:val="00AE7044"/>
    <w:rsid w:val="00AF024D"/>
    <w:rsid w:val="00AF31E7"/>
    <w:rsid w:val="00B01387"/>
    <w:rsid w:val="00B03C5A"/>
    <w:rsid w:val="00B068B0"/>
    <w:rsid w:val="00B124FC"/>
    <w:rsid w:val="00B12EFA"/>
    <w:rsid w:val="00B1302B"/>
    <w:rsid w:val="00B142BB"/>
    <w:rsid w:val="00B144A5"/>
    <w:rsid w:val="00B15E70"/>
    <w:rsid w:val="00B2211E"/>
    <w:rsid w:val="00B23289"/>
    <w:rsid w:val="00B232AE"/>
    <w:rsid w:val="00B2384E"/>
    <w:rsid w:val="00B242AC"/>
    <w:rsid w:val="00B357C9"/>
    <w:rsid w:val="00B37EBA"/>
    <w:rsid w:val="00B42CF5"/>
    <w:rsid w:val="00B43580"/>
    <w:rsid w:val="00B50574"/>
    <w:rsid w:val="00B53306"/>
    <w:rsid w:val="00B55EA5"/>
    <w:rsid w:val="00B6179F"/>
    <w:rsid w:val="00B61EA7"/>
    <w:rsid w:val="00B64ABC"/>
    <w:rsid w:val="00B67111"/>
    <w:rsid w:val="00B706CB"/>
    <w:rsid w:val="00B72CB2"/>
    <w:rsid w:val="00B72D6E"/>
    <w:rsid w:val="00B74D44"/>
    <w:rsid w:val="00B8330F"/>
    <w:rsid w:val="00B84992"/>
    <w:rsid w:val="00B87690"/>
    <w:rsid w:val="00B94A0F"/>
    <w:rsid w:val="00B953A6"/>
    <w:rsid w:val="00B96E44"/>
    <w:rsid w:val="00BA00DC"/>
    <w:rsid w:val="00BA2CE0"/>
    <w:rsid w:val="00BA790E"/>
    <w:rsid w:val="00BA7AD9"/>
    <w:rsid w:val="00BA7D03"/>
    <w:rsid w:val="00BB11C4"/>
    <w:rsid w:val="00BB30F3"/>
    <w:rsid w:val="00BC711C"/>
    <w:rsid w:val="00BC722C"/>
    <w:rsid w:val="00BD4969"/>
    <w:rsid w:val="00BD5DF5"/>
    <w:rsid w:val="00BE1EDD"/>
    <w:rsid w:val="00BF44DC"/>
    <w:rsid w:val="00BF46B7"/>
    <w:rsid w:val="00C029CE"/>
    <w:rsid w:val="00C04499"/>
    <w:rsid w:val="00C0493E"/>
    <w:rsid w:val="00C06EB4"/>
    <w:rsid w:val="00C0773D"/>
    <w:rsid w:val="00C112E6"/>
    <w:rsid w:val="00C1260C"/>
    <w:rsid w:val="00C14297"/>
    <w:rsid w:val="00C1450E"/>
    <w:rsid w:val="00C24D11"/>
    <w:rsid w:val="00C2608E"/>
    <w:rsid w:val="00C27824"/>
    <w:rsid w:val="00C32A12"/>
    <w:rsid w:val="00C34618"/>
    <w:rsid w:val="00C37AEC"/>
    <w:rsid w:val="00C405CE"/>
    <w:rsid w:val="00C42A49"/>
    <w:rsid w:val="00C43120"/>
    <w:rsid w:val="00C53B10"/>
    <w:rsid w:val="00C57453"/>
    <w:rsid w:val="00C60A17"/>
    <w:rsid w:val="00C625B1"/>
    <w:rsid w:val="00C65040"/>
    <w:rsid w:val="00C657F3"/>
    <w:rsid w:val="00C70BA7"/>
    <w:rsid w:val="00C73833"/>
    <w:rsid w:val="00C74794"/>
    <w:rsid w:val="00C74FD8"/>
    <w:rsid w:val="00C76505"/>
    <w:rsid w:val="00C769D8"/>
    <w:rsid w:val="00C770A3"/>
    <w:rsid w:val="00C80D6D"/>
    <w:rsid w:val="00C837E4"/>
    <w:rsid w:val="00C90A3A"/>
    <w:rsid w:val="00CA698B"/>
    <w:rsid w:val="00CA6CC1"/>
    <w:rsid w:val="00CA7E4A"/>
    <w:rsid w:val="00CB387D"/>
    <w:rsid w:val="00CB54EB"/>
    <w:rsid w:val="00CB663F"/>
    <w:rsid w:val="00CB6BCE"/>
    <w:rsid w:val="00CC12C3"/>
    <w:rsid w:val="00CC3945"/>
    <w:rsid w:val="00CC6DBF"/>
    <w:rsid w:val="00CD1469"/>
    <w:rsid w:val="00CD1D3C"/>
    <w:rsid w:val="00CD5B94"/>
    <w:rsid w:val="00CD65F2"/>
    <w:rsid w:val="00CF0D87"/>
    <w:rsid w:val="00CF6EA2"/>
    <w:rsid w:val="00CF7033"/>
    <w:rsid w:val="00D01429"/>
    <w:rsid w:val="00D14AD6"/>
    <w:rsid w:val="00D20F73"/>
    <w:rsid w:val="00D2617E"/>
    <w:rsid w:val="00D26615"/>
    <w:rsid w:val="00D266F5"/>
    <w:rsid w:val="00D26FC6"/>
    <w:rsid w:val="00D271EA"/>
    <w:rsid w:val="00D303A6"/>
    <w:rsid w:val="00D35DC8"/>
    <w:rsid w:val="00D36729"/>
    <w:rsid w:val="00D448AD"/>
    <w:rsid w:val="00D44D3A"/>
    <w:rsid w:val="00D46B9A"/>
    <w:rsid w:val="00D528F4"/>
    <w:rsid w:val="00D54783"/>
    <w:rsid w:val="00D56A13"/>
    <w:rsid w:val="00D6061B"/>
    <w:rsid w:val="00D60D03"/>
    <w:rsid w:val="00D60E14"/>
    <w:rsid w:val="00D62262"/>
    <w:rsid w:val="00D73167"/>
    <w:rsid w:val="00D9300F"/>
    <w:rsid w:val="00D973F7"/>
    <w:rsid w:val="00DA1377"/>
    <w:rsid w:val="00DA1DD3"/>
    <w:rsid w:val="00DA2589"/>
    <w:rsid w:val="00DA5F91"/>
    <w:rsid w:val="00DA632F"/>
    <w:rsid w:val="00DA65F1"/>
    <w:rsid w:val="00DB1061"/>
    <w:rsid w:val="00DB6E97"/>
    <w:rsid w:val="00DB79F0"/>
    <w:rsid w:val="00DC115D"/>
    <w:rsid w:val="00DC2D8F"/>
    <w:rsid w:val="00DD4C01"/>
    <w:rsid w:val="00DD5D5D"/>
    <w:rsid w:val="00DE03EE"/>
    <w:rsid w:val="00DF2A1D"/>
    <w:rsid w:val="00DF373D"/>
    <w:rsid w:val="00DF48FF"/>
    <w:rsid w:val="00DF5698"/>
    <w:rsid w:val="00DF62FF"/>
    <w:rsid w:val="00DF66E3"/>
    <w:rsid w:val="00E00646"/>
    <w:rsid w:val="00E04AA9"/>
    <w:rsid w:val="00E05861"/>
    <w:rsid w:val="00E0698C"/>
    <w:rsid w:val="00E06E10"/>
    <w:rsid w:val="00E10D37"/>
    <w:rsid w:val="00E10E78"/>
    <w:rsid w:val="00E128EE"/>
    <w:rsid w:val="00E1464B"/>
    <w:rsid w:val="00E15E4D"/>
    <w:rsid w:val="00E163DB"/>
    <w:rsid w:val="00E21D4D"/>
    <w:rsid w:val="00E228F1"/>
    <w:rsid w:val="00E24A8B"/>
    <w:rsid w:val="00E24C19"/>
    <w:rsid w:val="00E263DB"/>
    <w:rsid w:val="00E30EE1"/>
    <w:rsid w:val="00E315AE"/>
    <w:rsid w:val="00E32AF9"/>
    <w:rsid w:val="00E336AC"/>
    <w:rsid w:val="00E3422D"/>
    <w:rsid w:val="00E51525"/>
    <w:rsid w:val="00E51BC3"/>
    <w:rsid w:val="00E5433B"/>
    <w:rsid w:val="00E57128"/>
    <w:rsid w:val="00E62138"/>
    <w:rsid w:val="00E64ABD"/>
    <w:rsid w:val="00E733F7"/>
    <w:rsid w:val="00E76D9B"/>
    <w:rsid w:val="00E7739F"/>
    <w:rsid w:val="00E849D3"/>
    <w:rsid w:val="00E862EF"/>
    <w:rsid w:val="00E86583"/>
    <w:rsid w:val="00E903ED"/>
    <w:rsid w:val="00E94990"/>
    <w:rsid w:val="00E95A4D"/>
    <w:rsid w:val="00EA31B3"/>
    <w:rsid w:val="00EA7710"/>
    <w:rsid w:val="00EB06F9"/>
    <w:rsid w:val="00EB3AED"/>
    <w:rsid w:val="00EC6D7C"/>
    <w:rsid w:val="00EC7C8E"/>
    <w:rsid w:val="00ED03F7"/>
    <w:rsid w:val="00ED4287"/>
    <w:rsid w:val="00ED6250"/>
    <w:rsid w:val="00ED67B9"/>
    <w:rsid w:val="00ED6DD6"/>
    <w:rsid w:val="00EE6E09"/>
    <w:rsid w:val="00EF1C56"/>
    <w:rsid w:val="00F02A0C"/>
    <w:rsid w:val="00F0520A"/>
    <w:rsid w:val="00F05BF5"/>
    <w:rsid w:val="00F101F0"/>
    <w:rsid w:val="00F11B45"/>
    <w:rsid w:val="00F1227A"/>
    <w:rsid w:val="00F16E2D"/>
    <w:rsid w:val="00F22755"/>
    <w:rsid w:val="00F22E5F"/>
    <w:rsid w:val="00F25DDB"/>
    <w:rsid w:val="00F260AC"/>
    <w:rsid w:val="00F32A90"/>
    <w:rsid w:val="00F354D9"/>
    <w:rsid w:val="00F35FC8"/>
    <w:rsid w:val="00F37E3D"/>
    <w:rsid w:val="00F46769"/>
    <w:rsid w:val="00F4739E"/>
    <w:rsid w:val="00F50085"/>
    <w:rsid w:val="00F51BAA"/>
    <w:rsid w:val="00F60FD6"/>
    <w:rsid w:val="00F66063"/>
    <w:rsid w:val="00F7387B"/>
    <w:rsid w:val="00F74CD9"/>
    <w:rsid w:val="00F80D3F"/>
    <w:rsid w:val="00F810EF"/>
    <w:rsid w:val="00F83B7B"/>
    <w:rsid w:val="00F85DE8"/>
    <w:rsid w:val="00F92E35"/>
    <w:rsid w:val="00F95D44"/>
    <w:rsid w:val="00F95EAD"/>
    <w:rsid w:val="00FA3E25"/>
    <w:rsid w:val="00FC177E"/>
    <w:rsid w:val="00FC2A02"/>
    <w:rsid w:val="00FD0B60"/>
    <w:rsid w:val="00FD172E"/>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613311"/>
  <w15:docId w15:val="{8DB303E0-1172-472F-9847-C15759A5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3FCE"/>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1B5F"/>
    <w:rPr>
      <w:color w:val="0563C1" w:themeColor="hyperlink"/>
      <w:u w:val="single"/>
    </w:rPr>
  </w:style>
  <w:style w:type="paragraph" w:styleId="NormalWeb">
    <w:name w:val="Normal (Web)"/>
    <w:basedOn w:val="Normal"/>
    <w:uiPriority w:val="99"/>
    <w:semiHidden/>
    <w:unhideWhenUsed/>
    <w:rsid w:val="00F354D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character" w:styleId="Strong">
    <w:name w:val="Strong"/>
    <w:basedOn w:val="DefaultParagraphFont"/>
    <w:uiPriority w:val="22"/>
    <w:qFormat/>
    <w:rsid w:val="00F354D9"/>
    <w:rPr>
      <w:b/>
      <w:bCs/>
    </w:rPr>
  </w:style>
  <w:style w:type="paragraph" w:styleId="BodyText">
    <w:name w:val="Body Text"/>
    <w:basedOn w:val="Normal"/>
    <w:link w:val="BodyTextChar"/>
    <w:uiPriority w:val="99"/>
    <w:unhideWhenUsed/>
    <w:rsid w:val="00F354D9"/>
    <w:pPr>
      <w:keepNext/>
      <w:spacing w:before="120" w:after="0" w:line="240" w:lineRule="auto"/>
      <w:jc w:val="both"/>
    </w:pPr>
    <w:rPr>
      <w:rFonts w:ascii="Trebuchet MS" w:hAnsi="Trebuchet MS"/>
      <w:bCs/>
      <w:color w:val="000000"/>
      <w:lang w:val="ro-RO"/>
    </w:rPr>
  </w:style>
  <w:style w:type="character" w:customStyle="1" w:styleId="BodyTextChar">
    <w:name w:val="Body Text Char"/>
    <w:basedOn w:val="DefaultParagraphFont"/>
    <w:link w:val="BodyText"/>
    <w:uiPriority w:val="99"/>
    <w:rsid w:val="00F354D9"/>
    <w:rPr>
      <w:rFonts w:ascii="Trebuchet MS" w:hAnsi="Trebuchet MS"/>
      <w:bCs/>
      <w:noProof/>
      <w:color w:val="00000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678937">
      <w:bodyDiv w:val="1"/>
      <w:marLeft w:val="0"/>
      <w:marRight w:val="0"/>
      <w:marTop w:val="0"/>
      <w:marBottom w:val="0"/>
      <w:divBdr>
        <w:top w:val="none" w:sz="0" w:space="0" w:color="auto"/>
        <w:left w:val="none" w:sz="0" w:space="0" w:color="auto"/>
        <w:bottom w:val="none" w:sz="0" w:space="0" w:color="auto"/>
        <w:right w:val="none" w:sz="0" w:space="0" w:color="auto"/>
      </w:divBdr>
    </w:div>
    <w:div w:id="1717966793">
      <w:bodyDiv w:val="1"/>
      <w:marLeft w:val="0"/>
      <w:marRight w:val="0"/>
      <w:marTop w:val="0"/>
      <w:marBottom w:val="0"/>
      <w:divBdr>
        <w:top w:val="none" w:sz="0" w:space="0" w:color="auto"/>
        <w:left w:val="none" w:sz="0" w:space="0" w:color="auto"/>
        <w:bottom w:val="none" w:sz="0" w:space="0" w:color="auto"/>
        <w:right w:val="none" w:sz="0" w:space="0" w:color="auto"/>
      </w:divBdr>
    </w:div>
    <w:div w:id="207927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EB21F-70C0-48D2-A38D-9B5DC237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7786</Words>
  <Characters>44384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Iliescu</dc:creator>
  <cp:lastModifiedBy>Alina Constantin</cp:lastModifiedBy>
  <cp:revision>2</cp:revision>
  <cp:lastPrinted>2021-11-09T15:26:00Z</cp:lastPrinted>
  <dcterms:created xsi:type="dcterms:W3CDTF">2022-02-11T10:28:00Z</dcterms:created>
  <dcterms:modified xsi:type="dcterms:W3CDTF">2022-02-11T10:28:00Z</dcterms:modified>
</cp:coreProperties>
</file>